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776E29" w14:textId="5531AD11" w:rsidR="00180A81" w:rsidRPr="008D03DF" w:rsidRDefault="00180A81" w:rsidP="0075328A">
      <w:pPr>
        <w:overflowPunct w:val="0"/>
        <w:autoSpaceDE w:val="0"/>
        <w:autoSpaceDN w:val="0"/>
        <w:adjustRightInd w:val="0"/>
        <w:snapToGrid w:val="0"/>
        <w:jc w:val="right"/>
        <w:rPr>
          <w:rFonts w:ascii="宋体" w:eastAsia="方正新书宋_GBK" w:hAnsi="宋体"/>
          <w:sz w:val="30"/>
          <w:szCs w:val="30"/>
          <w:bdr w:val="single" w:sz="4" w:space="0" w:color="auto"/>
          <w:lang w:eastAsia="zh-TW"/>
        </w:rPr>
      </w:pPr>
      <w:r w:rsidRPr="008D03DF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>天台</w:t>
      </w:r>
      <w:r w:rsidR="00CB1B55" w:rsidRPr="008D03DF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>宗電子圖書館</w:t>
      </w:r>
      <w:r w:rsidRPr="008D03DF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 xml:space="preserve"> </w:t>
      </w:r>
      <w:r w:rsidRPr="008D03DF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>製作</w:t>
      </w:r>
    </w:p>
    <w:p w14:paraId="6ACA1001" w14:textId="77777777" w:rsidR="00180A81" w:rsidRPr="008D03DF" w:rsidRDefault="00180A81" w:rsidP="00180A81">
      <w:pPr>
        <w:widowControl/>
        <w:snapToGrid w:val="0"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64D4F2F8" w14:textId="77777777" w:rsidR="00180A81" w:rsidRPr="008D03DF" w:rsidRDefault="00180A81" w:rsidP="00180A81">
      <w:pPr>
        <w:widowControl/>
        <w:snapToGrid w:val="0"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5879F0A1" w14:textId="77777777" w:rsidR="00180A81" w:rsidRPr="008D03DF" w:rsidRDefault="00180A81" w:rsidP="00180A81">
      <w:pPr>
        <w:widowControl/>
        <w:snapToGrid w:val="0"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591136D7" w14:textId="77777777" w:rsidR="00180A81" w:rsidRPr="008D03DF" w:rsidRDefault="00180A81" w:rsidP="00180A81">
      <w:pPr>
        <w:widowControl/>
        <w:snapToGrid w:val="0"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0471B498" w14:textId="77777777" w:rsidR="00180A81" w:rsidRPr="008D03DF" w:rsidRDefault="00180A81" w:rsidP="00180A81">
      <w:pPr>
        <w:widowControl/>
        <w:snapToGrid w:val="0"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1929E092" w14:textId="77777777" w:rsidR="00180A81" w:rsidRPr="008D03DF" w:rsidRDefault="00180A81" w:rsidP="00180A81">
      <w:pPr>
        <w:widowControl/>
        <w:snapToGrid w:val="0"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7699011A" w14:textId="77777777" w:rsidR="00180A81" w:rsidRPr="008D03DF" w:rsidRDefault="00180A81" w:rsidP="00180A81">
      <w:pPr>
        <w:widowControl/>
        <w:snapToGrid w:val="0"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66CC27E5" w14:textId="77777777" w:rsidR="00180A81" w:rsidRPr="008D03DF" w:rsidRDefault="00180A81" w:rsidP="00180A81">
      <w:pPr>
        <w:widowControl/>
        <w:snapToGrid w:val="0"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41237A4C" w14:textId="77777777" w:rsidR="00180A81" w:rsidRPr="008D03DF" w:rsidRDefault="00180A81" w:rsidP="00180A81">
      <w:pPr>
        <w:widowControl/>
        <w:snapToGrid w:val="0"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170967E1" w14:textId="77777777" w:rsidR="006A0AA1" w:rsidRDefault="006A0AA1" w:rsidP="00180A81">
      <w:pPr>
        <w:overflowPunct w:val="0"/>
        <w:autoSpaceDE w:val="0"/>
        <w:autoSpaceDN w:val="0"/>
        <w:snapToGrid w:val="0"/>
        <w:jc w:val="center"/>
        <w:rPr>
          <w:rFonts w:ascii="楷体" w:eastAsia="PMingLiU" w:hAnsi="楷体"/>
          <w:b/>
          <w:bCs/>
          <w:sz w:val="84"/>
          <w:szCs w:val="84"/>
          <w:lang w:eastAsia="zh-TW"/>
        </w:rPr>
      </w:pPr>
      <w:r w:rsidRPr="006A0AA1">
        <w:rPr>
          <w:rFonts w:ascii="楷体" w:eastAsia="楷体" w:hAnsi="楷体" w:hint="eastAsia"/>
          <w:b/>
          <w:bCs/>
          <w:sz w:val="84"/>
          <w:szCs w:val="84"/>
          <w:lang w:eastAsia="zh-TW"/>
        </w:rPr>
        <w:t>釋摩訶般若波羅蜜經</w:t>
      </w:r>
    </w:p>
    <w:p w14:paraId="091783FD" w14:textId="24060C0F" w:rsidR="00180A81" w:rsidRDefault="006A0AA1" w:rsidP="00180A81">
      <w:pPr>
        <w:overflowPunct w:val="0"/>
        <w:autoSpaceDE w:val="0"/>
        <w:autoSpaceDN w:val="0"/>
        <w:snapToGrid w:val="0"/>
        <w:jc w:val="center"/>
        <w:rPr>
          <w:rFonts w:ascii="楷体" w:eastAsia="PMingLiU" w:hAnsi="楷体"/>
          <w:b/>
          <w:bCs/>
          <w:sz w:val="84"/>
          <w:szCs w:val="84"/>
          <w:lang w:eastAsia="zh-TW"/>
        </w:rPr>
      </w:pPr>
      <w:r w:rsidRPr="006A0AA1">
        <w:rPr>
          <w:rFonts w:ascii="楷体" w:eastAsia="楷体" w:hAnsi="楷体" w:hint="eastAsia"/>
          <w:b/>
          <w:bCs/>
          <w:sz w:val="84"/>
          <w:szCs w:val="84"/>
          <w:lang w:eastAsia="zh-TW"/>
        </w:rPr>
        <w:t>覺意三昧</w:t>
      </w:r>
    </w:p>
    <w:p w14:paraId="662F343C" w14:textId="77777777" w:rsidR="00180A81" w:rsidRPr="00180A81" w:rsidRDefault="00180A81" w:rsidP="00180A81">
      <w:pPr>
        <w:overflowPunct w:val="0"/>
        <w:autoSpaceDE w:val="0"/>
        <w:autoSpaceDN w:val="0"/>
        <w:snapToGrid w:val="0"/>
        <w:rPr>
          <w:rFonts w:ascii="楷体" w:eastAsia="楷体" w:hAnsi="楷体"/>
          <w:sz w:val="84"/>
          <w:szCs w:val="84"/>
          <w:lang w:eastAsia="zh-TW"/>
        </w:rPr>
      </w:pPr>
    </w:p>
    <w:p w14:paraId="4752E952" w14:textId="77777777" w:rsidR="006A0AA1" w:rsidRDefault="006A0AA1" w:rsidP="00DA21FA">
      <w:pPr>
        <w:overflowPunct w:val="0"/>
        <w:autoSpaceDE w:val="0"/>
        <w:autoSpaceDN w:val="0"/>
        <w:snapToGrid w:val="0"/>
        <w:spacing w:line="360" w:lineRule="auto"/>
        <w:jc w:val="center"/>
        <w:rPr>
          <w:rFonts w:ascii="楷体" w:eastAsia="PMingLiU" w:hAnsi="楷体"/>
          <w:sz w:val="30"/>
          <w:szCs w:val="30"/>
          <w:lang w:eastAsia="zh-TW"/>
        </w:rPr>
      </w:pPr>
      <w:r w:rsidRPr="006A0AA1">
        <w:rPr>
          <w:rFonts w:ascii="楷体" w:eastAsia="楷体" w:hAnsi="楷体" w:hint="eastAsia"/>
          <w:sz w:val="30"/>
          <w:szCs w:val="30"/>
          <w:lang w:eastAsia="zh-TW"/>
        </w:rPr>
        <w:t>隋天台智者大師說</w:t>
      </w:r>
    </w:p>
    <w:p w14:paraId="3BF3CBE5" w14:textId="1019C2CD" w:rsidR="00180A81" w:rsidRPr="00180A81" w:rsidRDefault="006A0AA1" w:rsidP="00DA21FA">
      <w:pPr>
        <w:overflowPunct w:val="0"/>
        <w:autoSpaceDE w:val="0"/>
        <w:autoSpaceDN w:val="0"/>
        <w:snapToGrid w:val="0"/>
        <w:spacing w:line="360" w:lineRule="auto"/>
        <w:jc w:val="center"/>
        <w:rPr>
          <w:rFonts w:ascii="楷体" w:eastAsia="楷体" w:hAnsi="楷体"/>
          <w:sz w:val="30"/>
          <w:szCs w:val="30"/>
          <w:lang w:eastAsia="zh-TW"/>
        </w:rPr>
      </w:pPr>
      <w:r w:rsidRPr="006A0AA1">
        <w:rPr>
          <w:rFonts w:ascii="楷体" w:eastAsia="楷体" w:hAnsi="楷体" w:hint="eastAsia"/>
          <w:sz w:val="30"/>
          <w:szCs w:val="30"/>
          <w:lang w:eastAsia="zh-TW"/>
        </w:rPr>
        <w:t>門人灌頂記</w:t>
      </w:r>
    </w:p>
    <w:p w14:paraId="0106F922" w14:textId="77777777" w:rsidR="00180A81" w:rsidRPr="008D03DF" w:rsidRDefault="00180A81" w:rsidP="00180A81">
      <w:pPr>
        <w:widowControl/>
        <w:snapToGrid w:val="0"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039039CA" w14:textId="77777777" w:rsidR="00180A81" w:rsidRPr="008D03DF" w:rsidRDefault="00180A81">
      <w:pPr>
        <w:widowControl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  <w:r w:rsidRPr="008D03DF">
        <w:rPr>
          <w:rFonts w:ascii="宋体" w:eastAsia="方正新书宋_GBK" w:hAnsi="宋体"/>
          <w:b/>
          <w:bCs/>
          <w:sz w:val="30"/>
          <w:szCs w:val="30"/>
          <w:lang w:eastAsia="zh-TW"/>
        </w:rPr>
        <w:br w:type="page"/>
      </w:r>
    </w:p>
    <w:p w14:paraId="4F05A2D8" w14:textId="77777777" w:rsidR="00180A81" w:rsidRPr="008D03DF" w:rsidRDefault="00180A81">
      <w:pPr>
        <w:widowControl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5F68ECC2" w14:textId="77777777" w:rsidR="00180A81" w:rsidRPr="008D03DF" w:rsidRDefault="00180A81">
      <w:pPr>
        <w:widowControl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</w:pPr>
    </w:p>
    <w:p w14:paraId="2474927A" w14:textId="77777777" w:rsidR="00CB1B55" w:rsidRPr="008D03DF" w:rsidRDefault="00CB1B55" w:rsidP="00CB1B55">
      <w:pPr>
        <w:overflowPunct w:val="0"/>
        <w:autoSpaceDE w:val="0"/>
        <w:autoSpaceDN w:val="0"/>
        <w:adjustRightInd w:val="0"/>
        <w:snapToGrid w:val="0"/>
        <w:spacing w:before="120" w:after="120"/>
        <w:rPr>
          <w:rFonts w:ascii="宋体" w:eastAsia="方正新书宋_GBK" w:hAnsi="宋体"/>
          <w:sz w:val="30"/>
          <w:szCs w:val="30"/>
          <w:lang w:eastAsia="zh-TW"/>
        </w:rPr>
      </w:pP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注意：</w:t>
      </w:r>
    </w:p>
    <w:p w14:paraId="467C8C49" w14:textId="77777777" w:rsidR="00CB1B55" w:rsidRPr="008D03DF" w:rsidRDefault="00CB1B55" w:rsidP="00CB1B55">
      <w:pPr>
        <w:pStyle w:val="a7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56" w:after="156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本圖書館所收錄典籍，主要是從網絡上面搜得的好版本，但是只有部份是校對過，難免還會有錯處。故此我們會不時修訂、更新，所以欲打印的話，請在打印之前到網站上下載，以確保是最新的版本。下載地址：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http://ttlib.buddhism.org.hk/</w:t>
      </w:r>
    </w:p>
    <w:p w14:paraId="331EA310" w14:textId="13DF43D2" w:rsidR="00CB1B55" w:rsidRPr="008D03DF" w:rsidRDefault="00CB1B55" w:rsidP="00CB1B55">
      <w:pPr>
        <w:pStyle w:val="a7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56" w:after="156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打印的話，建議使用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p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df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檔，因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w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ord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檔容易隨設備不同而導致頁碼可能會有錯亂。而裝釘邊距使用了奇偶頁設置，宜雙面打印，單面打印的話會出現內文左右移動。打印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4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或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2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開皆可，若有眼力不佳，需要更大字體，可以印成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3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閱讀。</w:t>
      </w:r>
    </w:p>
    <w:p w14:paraId="39626EC9" w14:textId="17000EF9" w:rsidR="00CB1B55" w:rsidRPr="008D03DF" w:rsidRDefault="00CB1B55" w:rsidP="00CB1B55">
      <w:pPr>
        <w:pStyle w:val="a7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56" w:after="156"/>
        <w:ind w:left="567" w:firstLineChars="0" w:hanging="567"/>
        <w:rPr>
          <w:rFonts w:ascii="宋体" w:eastAsia="方正新书宋_GBK" w:hAnsi="宋体"/>
          <w:sz w:val="30"/>
          <w:szCs w:val="30"/>
          <w:lang w:eastAsia="zh-TW"/>
        </w:rPr>
      </w:pP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使用平板閱讀，建議使用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p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df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“切白邊版”，以使內文顯示最大化。若無“切白邊版”，可以自行使用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dobe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軟件裁邊，全部奇數頁面裁剪分別為：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.75cm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（上、下）、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2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.45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（左）、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1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.95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（右）；然後偶數頁面為：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.75cm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（上、下）、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1.95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（左）、</w:t>
      </w:r>
      <w:r w:rsidRPr="008D03DF">
        <w:rPr>
          <w:rFonts w:ascii="宋体" w:eastAsia="方正新书宋_GBK" w:hAnsi="宋体"/>
          <w:sz w:val="30"/>
          <w:szCs w:val="30"/>
          <w:lang w:eastAsia="zh-TW"/>
        </w:rPr>
        <w:t>2.45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（右）。還原的話，把上面設置為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0cm</w:t>
      </w:r>
      <w:r w:rsidRPr="008D03DF">
        <w:rPr>
          <w:rFonts w:ascii="宋体" w:eastAsia="方正新书宋_GBK" w:hAnsi="宋体" w:hint="eastAsia"/>
          <w:sz w:val="30"/>
          <w:szCs w:val="30"/>
          <w:lang w:eastAsia="zh-TW"/>
        </w:rPr>
        <w:t>，選全部頁數並確定執行。</w:t>
      </w:r>
    </w:p>
    <w:p w14:paraId="2645211A" w14:textId="278B6AFE" w:rsidR="00CB1B55" w:rsidRPr="008D03DF" w:rsidRDefault="00CB1B55">
      <w:pPr>
        <w:widowControl/>
        <w:jc w:val="left"/>
        <w:rPr>
          <w:rFonts w:ascii="宋体" w:eastAsia="方正新书宋_GBK" w:hAnsi="宋体"/>
          <w:b/>
          <w:bCs/>
          <w:sz w:val="30"/>
          <w:szCs w:val="30"/>
          <w:lang w:eastAsia="zh-TW"/>
        </w:rPr>
        <w:sectPr w:rsidR="00CB1B55" w:rsidRPr="008D03DF" w:rsidSect="00180A81">
          <w:pgSz w:w="11906" w:h="16838"/>
          <w:pgMar w:top="2155" w:right="1134" w:bottom="2155" w:left="1134" w:header="851" w:footer="992" w:gutter="284"/>
          <w:cols w:space="425"/>
          <w:docGrid w:type="lines" w:linePitch="312"/>
        </w:sectPr>
      </w:pPr>
    </w:p>
    <w:sdt>
      <w:sdtPr>
        <w:rPr>
          <w:rFonts w:ascii="楷体" w:eastAsia="楷体" w:hAnsi="楷体" w:cs="宋体"/>
          <w:b/>
          <w:bCs/>
          <w:color w:val="auto"/>
          <w:kern w:val="2"/>
          <w:sz w:val="44"/>
          <w:szCs w:val="44"/>
          <w:lang w:val="zh-CN"/>
        </w:rPr>
        <w:id w:val="-2062543819"/>
        <w:docPartObj>
          <w:docPartGallery w:val="Table of Contents"/>
          <w:docPartUnique/>
        </w:docPartObj>
      </w:sdtPr>
      <w:sdtEndPr>
        <w:rPr>
          <w:rFonts w:ascii="Calibri" w:eastAsia="宋体" w:hAnsi="Calibri"/>
          <w:sz w:val="21"/>
          <w:szCs w:val="22"/>
        </w:rPr>
      </w:sdtEndPr>
      <w:sdtContent>
        <w:p w14:paraId="6FA7065B" w14:textId="104535A2" w:rsidR="006E10DC" w:rsidRDefault="006E10DC" w:rsidP="006E10DC">
          <w:pPr>
            <w:pStyle w:val="TOC"/>
            <w:jc w:val="center"/>
            <w:rPr>
              <w:rFonts w:ascii="楷体" w:eastAsia="PMingLiU" w:hAnsi="楷体"/>
              <w:b/>
              <w:bCs/>
              <w:color w:val="auto"/>
              <w:sz w:val="44"/>
              <w:szCs w:val="44"/>
              <w:lang w:val="zh-CN" w:eastAsia="zh-TW"/>
            </w:rPr>
          </w:pPr>
          <w:r w:rsidRPr="006E10DC">
            <w:rPr>
              <w:rFonts w:ascii="楷体" w:eastAsia="楷体" w:hAnsi="楷体" w:hint="eastAsia"/>
              <w:b/>
              <w:bCs/>
              <w:color w:val="auto"/>
              <w:sz w:val="44"/>
              <w:szCs w:val="44"/>
              <w:lang w:val="zh-CN" w:eastAsia="zh-TW"/>
            </w:rPr>
            <w:t>目錄</w:t>
          </w:r>
        </w:p>
        <w:p w14:paraId="4A274FEF" w14:textId="77777777" w:rsidR="006E10DC" w:rsidRPr="006E10DC" w:rsidRDefault="006E10DC" w:rsidP="006E10DC">
          <w:pPr>
            <w:rPr>
              <w:rFonts w:eastAsia="PMingLiU"/>
              <w:lang w:val="zh-CN" w:eastAsia="zh-TW"/>
            </w:rPr>
          </w:pPr>
        </w:p>
        <w:p w14:paraId="318AE715" w14:textId="5B16DDBC" w:rsidR="006404F0" w:rsidRPr="006404F0" w:rsidRDefault="006E10DC">
          <w:pPr>
            <w:pStyle w:val="TOC1"/>
            <w:rPr>
              <w:rFonts w:cstheme="minorBidi"/>
              <w:lang w:eastAsia="zh-CN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5811380" w:history="1">
            <w:r w:rsidR="006404F0" w:rsidRPr="006404F0">
              <w:rPr>
                <w:rStyle w:val="a8"/>
              </w:rPr>
              <w:t>釋摩訶般若波羅蜜經覺意三昧題解</w:t>
            </w:r>
            <w:r w:rsidR="006404F0" w:rsidRPr="006404F0">
              <w:rPr>
                <w:webHidden/>
              </w:rPr>
              <w:tab/>
            </w:r>
            <w:r w:rsidR="006404F0" w:rsidRPr="006404F0">
              <w:rPr>
                <w:webHidden/>
              </w:rPr>
              <w:fldChar w:fldCharType="begin"/>
            </w:r>
            <w:r w:rsidR="006404F0" w:rsidRPr="006404F0">
              <w:rPr>
                <w:webHidden/>
              </w:rPr>
              <w:instrText xml:space="preserve"> PAGEREF _Toc45811380 \h </w:instrText>
            </w:r>
            <w:r w:rsidR="006404F0" w:rsidRPr="006404F0">
              <w:rPr>
                <w:webHidden/>
              </w:rPr>
            </w:r>
            <w:r w:rsidR="006404F0" w:rsidRPr="006404F0">
              <w:rPr>
                <w:webHidden/>
              </w:rPr>
              <w:fldChar w:fldCharType="separate"/>
            </w:r>
            <w:r w:rsidR="000B62CF">
              <w:rPr>
                <w:webHidden/>
              </w:rPr>
              <w:t>3</w:t>
            </w:r>
            <w:r w:rsidR="006404F0" w:rsidRPr="006404F0">
              <w:rPr>
                <w:webHidden/>
              </w:rPr>
              <w:fldChar w:fldCharType="end"/>
            </w:r>
          </w:hyperlink>
        </w:p>
        <w:p w14:paraId="38CFEE5D" w14:textId="340B4E69" w:rsidR="006404F0" w:rsidRPr="006404F0" w:rsidRDefault="006404F0">
          <w:pPr>
            <w:pStyle w:val="TOC1"/>
            <w:rPr>
              <w:rFonts w:cstheme="minorBidi"/>
              <w:lang w:eastAsia="zh-CN"/>
            </w:rPr>
          </w:pPr>
          <w:hyperlink w:anchor="_Toc45811381" w:history="1">
            <w:r w:rsidRPr="006404F0">
              <w:rPr>
                <w:rStyle w:val="a8"/>
              </w:rPr>
              <w:t>釋摩訶般若波羅蜜經覺意三昧</w:t>
            </w:r>
            <w:r w:rsidRPr="006404F0">
              <w:rPr>
                <w:webHidden/>
              </w:rPr>
              <w:tab/>
            </w:r>
            <w:r w:rsidRPr="006404F0">
              <w:rPr>
                <w:webHidden/>
              </w:rPr>
              <w:fldChar w:fldCharType="begin"/>
            </w:r>
            <w:r w:rsidRPr="006404F0">
              <w:rPr>
                <w:webHidden/>
              </w:rPr>
              <w:instrText xml:space="preserve"> PAGEREF _Toc45811381 \h </w:instrText>
            </w:r>
            <w:r w:rsidRPr="006404F0">
              <w:rPr>
                <w:webHidden/>
              </w:rPr>
            </w:r>
            <w:r w:rsidRPr="006404F0">
              <w:rPr>
                <w:webHidden/>
              </w:rPr>
              <w:fldChar w:fldCharType="separate"/>
            </w:r>
            <w:r w:rsidR="000B62CF">
              <w:rPr>
                <w:webHidden/>
              </w:rPr>
              <w:t>7</w:t>
            </w:r>
            <w:r w:rsidRPr="006404F0">
              <w:rPr>
                <w:webHidden/>
              </w:rPr>
              <w:fldChar w:fldCharType="end"/>
            </w:r>
          </w:hyperlink>
        </w:p>
        <w:p w14:paraId="1BF8488B" w14:textId="197C7BFB" w:rsidR="006404F0" w:rsidRPr="006404F0" w:rsidRDefault="006404F0">
          <w:pPr>
            <w:pStyle w:val="TOC2"/>
            <w:tabs>
              <w:tab w:val="right" w:leader="dot" w:pos="9344"/>
            </w:tabs>
            <w:rPr>
              <w:rFonts w:ascii="仿宋" w:eastAsia="仿宋" w:hAnsi="仿宋" w:cstheme="minorBidi"/>
              <w:noProof/>
              <w:sz w:val="30"/>
              <w:szCs w:val="30"/>
            </w:rPr>
          </w:pPr>
          <w:hyperlink w:anchor="_Toc45811382" w:history="1">
            <w:r w:rsidRPr="006404F0">
              <w:rPr>
                <w:rStyle w:val="a8"/>
                <w:rFonts w:ascii="仿宋" w:eastAsia="仿宋" w:hAnsi="仿宋"/>
                <w:noProof/>
                <w:sz w:val="30"/>
                <w:szCs w:val="30"/>
                <w:lang w:eastAsia="zh-TW"/>
              </w:rPr>
              <w:t>辯法相第一</w:t>
            </w:r>
            <w:r w:rsidRPr="006404F0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ab/>
            </w:r>
            <w:r w:rsidRPr="006404F0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begin"/>
            </w:r>
            <w:r w:rsidRPr="006404F0">
              <w:rPr>
                <w:rFonts w:ascii="仿宋" w:eastAsia="仿宋" w:hAnsi="仿宋"/>
                <w:noProof/>
                <w:webHidden/>
                <w:sz w:val="30"/>
                <w:szCs w:val="30"/>
              </w:rPr>
              <w:instrText xml:space="preserve"> PAGEREF _Toc45811382 \h </w:instrText>
            </w:r>
            <w:r w:rsidRPr="006404F0">
              <w:rPr>
                <w:rFonts w:ascii="仿宋" w:eastAsia="仿宋" w:hAnsi="仿宋"/>
                <w:noProof/>
                <w:webHidden/>
                <w:sz w:val="30"/>
                <w:szCs w:val="30"/>
              </w:rPr>
            </w:r>
            <w:r w:rsidRPr="006404F0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separate"/>
            </w:r>
            <w:r w:rsidR="000B62CF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>7</w:t>
            </w:r>
            <w:r w:rsidRPr="006404F0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1F03BF69" w14:textId="2556EB5C" w:rsidR="006404F0" w:rsidRPr="006404F0" w:rsidRDefault="006404F0">
          <w:pPr>
            <w:pStyle w:val="TOC2"/>
            <w:tabs>
              <w:tab w:val="right" w:leader="dot" w:pos="9344"/>
            </w:tabs>
            <w:rPr>
              <w:rFonts w:ascii="仿宋" w:eastAsia="仿宋" w:hAnsi="仿宋" w:cstheme="minorBidi"/>
              <w:noProof/>
              <w:sz w:val="30"/>
              <w:szCs w:val="30"/>
            </w:rPr>
          </w:pPr>
          <w:hyperlink w:anchor="_Toc45811383" w:history="1">
            <w:r w:rsidRPr="006404F0">
              <w:rPr>
                <w:rStyle w:val="a8"/>
                <w:rFonts w:ascii="仿宋" w:eastAsia="仿宋" w:hAnsi="仿宋"/>
                <w:noProof/>
                <w:sz w:val="30"/>
                <w:szCs w:val="30"/>
                <w:lang w:eastAsia="zh-TW"/>
              </w:rPr>
              <w:t>釋覺意三昧名第二</w:t>
            </w:r>
            <w:r w:rsidRPr="006404F0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ab/>
            </w:r>
            <w:r w:rsidRPr="006404F0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begin"/>
            </w:r>
            <w:r w:rsidRPr="006404F0">
              <w:rPr>
                <w:rFonts w:ascii="仿宋" w:eastAsia="仿宋" w:hAnsi="仿宋"/>
                <w:noProof/>
                <w:webHidden/>
                <w:sz w:val="30"/>
                <w:szCs w:val="30"/>
              </w:rPr>
              <w:instrText xml:space="preserve"> PAGEREF _Toc45811383 \h </w:instrText>
            </w:r>
            <w:r w:rsidRPr="006404F0">
              <w:rPr>
                <w:rFonts w:ascii="仿宋" w:eastAsia="仿宋" w:hAnsi="仿宋"/>
                <w:noProof/>
                <w:webHidden/>
                <w:sz w:val="30"/>
                <w:szCs w:val="30"/>
              </w:rPr>
            </w:r>
            <w:r w:rsidRPr="006404F0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separate"/>
            </w:r>
            <w:r w:rsidR="000B62CF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>9</w:t>
            </w:r>
            <w:r w:rsidRPr="006404F0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6DD2DA7C" w14:textId="34C2CEEB" w:rsidR="006404F0" w:rsidRPr="006404F0" w:rsidRDefault="006404F0">
          <w:pPr>
            <w:pStyle w:val="TOC2"/>
            <w:tabs>
              <w:tab w:val="right" w:leader="dot" w:pos="9344"/>
            </w:tabs>
            <w:rPr>
              <w:rFonts w:ascii="仿宋" w:eastAsia="仿宋" w:hAnsi="仿宋" w:cstheme="minorBidi"/>
              <w:noProof/>
              <w:sz w:val="30"/>
              <w:szCs w:val="30"/>
            </w:rPr>
          </w:pPr>
          <w:hyperlink w:anchor="_Toc45811384" w:history="1">
            <w:r w:rsidRPr="006404F0">
              <w:rPr>
                <w:rStyle w:val="a8"/>
                <w:rFonts w:ascii="仿宋" w:eastAsia="仿宋" w:hAnsi="仿宋"/>
                <w:noProof/>
                <w:sz w:val="30"/>
                <w:szCs w:val="30"/>
                <w:lang w:eastAsia="zh-TW"/>
              </w:rPr>
              <w:t>釋覺意三昧方便行第三</w:t>
            </w:r>
            <w:r w:rsidRPr="006404F0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ab/>
            </w:r>
            <w:r w:rsidRPr="006404F0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begin"/>
            </w:r>
            <w:r w:rsidRPr="006404F0">
              <w:rPr>
                <w:rFonts w:ascii="仿宋" w:eastAsia="仿宋" w:hAnsi="仿宋"/>
                <w:noProof/>
                <w:webHidden/>
                <w:sz w:val="30"/>
                <w:szCs w:val="30"/>
              </w:rPr>
              <w:instrText xml:space="preserve"> PAGEREF _Toc45811384 \h </w:instrText>
            </w:r>
            <w:r w:rsidRPr="006404F0">
              <w:rPr>
                <w:rFonts w:ascii="仿宋" w:eastAsia="仿宋" w:hAnsi="仿宋"/>
                <w:noProof/>
                <w:webHidden/>
                <w:sz w:val="30"/>
                <w:szCs w:val="30"/>
              </w:rPr>
            </w:r>
            <w:r w:rsidRPr="006404F0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separate"/>
            </w:r>
            <w:r w:rsidR="000B62CF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>12</w:t>
            </w:r>
            <w:r w:rsidRPr="006404F0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4D14C1DB" w14:textId="0AD0C5B2" w:rsidR="006404F0" w:rsidRPr="006404F0" w:rsidRDefault="006404F0">
          <w:pPr>
            <w:pStyle w:val="TOC2"/>
            <w:tabs>
              <w:tab w:val="right" w:leader="dot" w:pos="9344"/>
            </w:tabs>
            <w:rPr>
              <w:rFonts w:ascii="仿宋" w:eastAsia="仿宋" w:hAnsi="仿宋" w:cstheme="minorBidi"/>
              <w:noProof/>
              <w:sz w:val="30"/>
              <w:szCs w:val="30"/>
            </w:rPr>
          </w:pPr>
          <w:hyperlink w:anchor="_Toc45811385" w:history="1">
            <w:r w:rsidRPr="006404F0">
              <w:rPr>
                <w:rStyle w:val="a8"/>
                <w:rFonts w:ascii="仿宋" w:eastAsia="仿宋" w:hAnsi="仿宋"/>
                <w:noProof/>
                <w:sz w:val="30"/>
                <w:szCs w:val="30"/>
                <w:lang w:eastAsia="zh-TW"/>
              </w:rPr>
              <w:t>釋覺意三昧明心相第四</w:t>
            </w:r>
            <w:r w:rsidRPr="006404F0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ab/>
            </w:r>
            <w:r w:rsidRPr="006404F0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begin"/>
            </w:r>
            <w:r w:rsidRPr="006404F0">
              <w:rPr>
                <w:rFonts w:ascii="仿宋" w:eastAsia="仿宋" w:hAnsi="仿宋"/>
                <w:noProof/>
                <w:webHidden/>
                <w:sz w:val="30"/>
                <w:szCs w:val="30"/>
              </w:rPr>
              <w:instrText xml:space="preserve"> PAGEREF _Toc45811385 \h </w:instrText>
            </w:r>
            <w:r w:rsidRPr="006404F0">
              <w:rPr>
                <w:rFonts w:ascii="仿宋" w:eastAsia="仿宋" w:hAnsi="仿宋"/>
                <w:noProof/>
                <w:webHidden/>
                <w:sz w:val="30"/>
                <w:szCs w:val="30"/>
              </w:rPr>
            </w:r>
            <w:r w:rsidRPr="006404F0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separate"/>
            </w:r>
            <w:r w:rsidR="000B62CF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>13</w:t>
            </w:r>
            <w:r w:rsidRPr="006404F0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305DBD4F" w14:textId="6B1E4232" w:rsidR="006404F0" w:rsidRPr="006404F0" w:rsidRDefault="006404F0">
          <w:pPr>
            <w:pStyle w:val="TOC2"/>
            <w:tabs>
              <w:tab w:val="right" w:leader="dot" w:pos="9344"/>
            </w:tabs>
            <w:rPr>
              <w:rFonts w:ascii="仿宋" w:eastAsia="仿宋" w:hAnsi="仿宋" w:cstheme="minorBidi"/>
              <w:noProof/>
              <w:sz w:val="30"/>
              <w:szCs w:val="30"/>
            </w:rPr>
          </w:pPr>
          <w:hyperlink w:anchor="_Toc45811386" w:history="1">
            <w:r w:rsidRPr="006404F0">
              <w:rPr>
                <w:rStyle w:val="a8"/>
                <w:rFonts w:ascii="仿宋" w:eastAsia="仿宋" w:hAnsi="仿宋"/>
                <w:noProof/>
                <w:sz w:val="30"/>
                <w:szCs w:val="30"/>
                <w:lang w:eastAsia="zh-TW"/>
              </w:rPr>
              <w:t>釋覺意三昧入觀門第五</w:t>
            </w:r>
            <w:r w:rsidRPr="006404F0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ab/>
            </w:r>
            <w:r w:rsidRPr="006404F0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begin"/>
            </w:r>
            <w:r w:rsidRPr="006404F0">
              <w:rPr>
                <w:rFonts w:ascii="仿宋" w:eastAsia="仿宋" w:hAnsi="仿宋"/>
                <w:noProof/>
                <w:webHidden/>
                <w:sz w:val="30"/>
                <w:szCs w:val="30"/>
              </w:rPr>
              <w:instrText xml:space="preserve"> PAGEREF _Toc45811386 \h </w:instrText>
            </w:r>
            <w:r w:rsidRPr="006404F0">
              <w:rPr>
                <w:rFonts w:ascii="仿宋" w:eastAsia="仿宋" w:hAnsi="仿宋"/>
                <w:noProof/>
                <w:webHidden/>
                <w:sz w:val="30"/>
                <w:szCs w:val="30"/>
              </w:rPr>
            </w:r>
            <w:r w:rsidRPr="006404F0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separate"/>
            </w:r>
            <w:r w:rsidR="000B62CF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>15</w:t>
            </w:r>
            <w:r w:rsidRPr="006404F0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173455DF" w14:textId="2A01D3D0" w:rsidR="006404F0" w:rsidRPr="006404F0" w:rsidRDefault="006404F0">
          <w:pPr>
            <w:pStyle w:val="TOC2"/>
            <w:tabs>
              <w:tab w:val="right" w:leader="dot" w:pos="9344"/>
            </w:tabs>
            <w:rPr>
              <w:rFonts w:ascii="仿宋" w:eastAsia="仿宋" w:hAnsi="仿宋" w:cstheme="minorBidi"/>
              <w:noProof/>
              <w:sz w:val="30"/>
              <w:szCs w:val="30"/>
            </w:rPr>
          </w:pPr>
          <w:hyperlink w:anchor="_Toc45811387" w:history="1">
            <w:r w:rsidRPr="006404F0">
              <w:rPr>
                <w:rStyle w:val="a8"/>
                <w:rFonts w:ascii="仿宋" w:eastAsia="仿宋" w:hAnsi="仿宋"/>
                <w:noProof/>
                <w:sz w:val="30"/>
                <w:szCs w:val="30"/>
                <w:lang w:eastAsia="zh-TW"/>
              </w:rPr>
              <w:t>釋覺意三昧證相門第六</w:t>
            </w:r>
            <w:r w:rsidRPr="006404F0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ab/>
            </w:r>
            <w:r w:rsidRPr="006404F0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begin"/>
            </w:r>
            <w:r w:rsidRPr="006404F0">
              <w:rPr>
                <w:rFonts w:ascii="仿宋" w:eastAsia="仿宋" w:hAnsi="仿宋"/>
                <w:noProof/>
                <w:webHidden/>
                <w:sz w:val="30"/>
                <w:szCs w:val="30"/>
              </w:rPr>
              <w:instrText xml:space="preserve"> PAGEREF _Toc45811387 \h </w:instrText>
            </w:r>
            <w:r w:rsidRPr="006404F0">
              <w:rPr>
                <w:rFonts w:ascii="仿宋" w:eastAsia="仿宋" w:hAnsi="仿宋"/>
                <w:noProof/>
                <w:webHidden/>
                <w:sz w:val="30"/>
                <w:szCs w:val="30"/>
              </w:rPr>
            </w:r>
            <w:r w:rsidRPr="006404F0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separate"/>
            </w:r>
            <w:r w:rsidR="000B62CF">
              <w:rPr>
                <w:rFonts w:ascii="仿宋" w:eastAsia="仿宋" w:hAnsi="仿宋"/>
                <w:noProof/>
                <w:webHidden/>
                <w:sz w:val="30"/>
                <w:szCs w:val="30"/>
              </w:rPr>
              <w:t>24</w:t>
            </w:r>
            <w:r w:rsidRPr="006404F0">
              <w:rPr>
                <w:rFonts w:ascii="仿宋" w:eastAsia="仿宋" w:hAnsi="仿宋"/>
                <w:noProof/>
                <w:webHidden/>
                <w:sz w:val="30"/>
                <w:szCs w:val="30"/>
              </w:rPr>
              <w:fldChar w:fldCharType="end"/>
            </w:r>
          </w:hyperlink>
        </w:p>
        <w:p w14:paraId="75ABCC2A" w14:textId="4DCEFB24" w:rsidR="006E10DC" w:rsidRDefault="006E10DC">
          <w:r>
            <w:rPr>
              <w:b/>
              <w:bCs/>
              <w:lang w:val="zh-CN"/>
            </w:rPr>
            <w:fldChar w:fldCharType="end"/>
          </w:r>
        </w:p>
      </w:sdtContent>
    </w:sdt>
    <w:p w14:paraId="78F1F99A" w14:textId="3DB2D5E6" w:rsidR="00723288" w:rsidRDefault="006E10DC">
      <w:pPr>
        <w:widowControl/>
        <w:jc w:val="left"/>
        <w:rPr>
          <w:lang w:eastAsia="zh-TW"/>
        </w:rPr>
      </w:pPr>
      <w:r>
        <w:rPr>
          <w:lang w:eastAsia="zh-TW"/>
        </w:rPr>
        <w:br w:type="page"/>
      </w:r>
      <w:r w:rsidR="00723288">
        <w:rPr>
          <w:lang w:eastAsia="zh-TW"/>
        </w:rPr>
        <w:lastRenderedPageBreak/>
        <w:br w:type="page"/>
      </w:r>
    </w:p>
    <w:p w14:paraId="10C4A7C2" w14:textId="77777777" w:rsidR="006E10DC" w:rsidRDefault="006E10DC">
      <w:pPr>
        <w:widowControl/>
        <w:jc w:val="left"/>
        <w:rPr>
          <w:rFonts w:eastAsia="楷体"/>
          <w:b/>
          <w:bCs/>
          <w:kern w:val="44"/>
          <w:sz w:val="44"/>
          <w:szCs w:val="44"/>
          <w:lang w:eastAsia="zh-TW"/>
        </w:rPr>
      </w:pPr>
    </w:p>
    <w:p w14:paraId="4513BADC" w14:textId="52F8D226" w:rsidR="006F1D5D" w:rsidRDefault="006A0AA1" w:rsidP="006A0AA1">
      <w:pPr>
        <w:pStyle w:val="1"/>
        <w:rPr>
          <w:lang w:eastAsia="zh-TW"/>
        </w:rPr>
      </w:pPr>
      <w:bookmarkStart w:id="0" w:name="_Toc45811380"/>
      <w:r>
        <w:rPr>
          <w:rFonts w:hint="eastAsia"/>
          <w:lang w:eastAsia="zh-TW"/>
        </w:rPr>
        <w:t>釋摩訶般若波羅蜜經覺意三昧題解</w:t>
      </w:r>
      <w:bookmarkEnd w:id="0"/>
    </w:p>
    <w:p w14:paraId="21BD5EFC" w14:textId="77777777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rPr>
          <w:rFonts w:ascii="宋体" w:eastAsia="方正新书宋_GBK" w:hAnsi="宋体" w:hint="eastAsia"/>
          <w:b/>
          <w:bCs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b/>
          <w:bCs/>
          <w:sz w:val="30"/>
          <w:szCs w:val="30"/>
          <w:lang w:eastAsia="zh-TW"/>
        </w:rPr>
        <w:t>一、名　稱</w:t>
      </w:r>
    </w:p>
    <w:p w14:paraId="78F1B2AC" w14:textId="0E0444D5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《釋摩訶般若波羅蜜經覺意三昧》，略稱《覺意三昧》。係闡釋《摩訶般若波羅蜜經》中「覺意三昧」之名義及行法等，故名。</w:t>
      </w:r>
    </w:p>
    <w:p w14:paraId="6B607B79" w14:textId="77777777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rPr>
          <w:rFonts w:ascii="宋体" w:eastAsia="方正新书宋_GBK" w:hAnsi="宋体" w:hint="eastAsia"/>
          <w:b/>
          <w:bCs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b/>
          <w:bCs/>
          <w:sz w:val="30"/>
          <w:szCs w:val="30"/>
          <w:lang w:eastAsia="zh-TW"/>
        </w:rPr>
        <w:t>二、作　者</w:t>
      </w:r>
    </w:p>
    <w:p w14:paraId="6F6DCF0F" w14:textId="54D16284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智顗大師（西元五三八～五九七年），為中國天台宗開宗祖師。隋代荊州（湖南）華容人，俗姓陳。字德安。世稱智者大師、天台大師。七歲即好往伽藍，諸僧口授〈普門品〉一遍，即誦持之。十八歲，投果願寺法緒法師出家。未久，隨慧曠律師學律藏，兼通方等，後入太賢山，誦《法華經》、《無量義經》、《普賢觀經》，二旬通達其義。陳天嘉元年（五六○年），入光州大蘇山，參謁慧思禪師。慧思禪師為示普賢道場，講說四安樂行，大師遂居止之。一日，誦《法華經</w:t>
      </w:r>
      <w:r w:rsidRPr="006A0AA1">
        <w:rPr>
          <w:rFonts w:ascii="微软雅黑" w:eastAsia="微软雅黑" w:hAnsi="微软雅黑" w:cs="微软雅黑" w:hint="eastAsia"/>
          <w:sz w:val="30"/>
          <w:szCs w:val="30"/>
          <w:lang w:eastAsia="zh-TW"/>
        </w:rPr>
        <w:t>‧</w:t>
      </w: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藥王品》，豁然開悟。既而代慧思禪師開講筵，更受其付囑入金陵弘傳禪法。於瓦官寺開《法華》經題，從而樹立新宗義，判釋經教，奠定了天台宗教觀之基礎。</w:t>
      </w:r>
    </w:p>
    <w:p w14:paraId="315F5613" w14:textId="7FBD3233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陳太建七年（五七五年），入浙江天台山，於佛隴之北建寺居之。九年，帝敕賜「修禪寺」之號。至德二年（五八四年），陳後主率后妃從大師受菩薩戒，三年奉敕出山，寓金陵靈曜寺，未久，於太極殿宣講《大智度論》、《仁王般若經》，又於光宅寺講《法華經》等。及隋軍</w:t>
      </w: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攻破金陵，大師西遊荊土。隋開皇十一年（五九一年），晉王楊廣（煬帝）累請東返，大師鑑其誠，乃至揚州為授菩薩戒，王敕賜「智者」之號。其後西行，至當陽玉泉山建寺。開皇十三年，於寺講說《法華玄義》，文帝乃敕賜「玉泉寺」之額。翌年又宣講《摩訶止觀》，十五年復應晉王之請，東返金陵，撰《淨名義疏》。開皇十七年，坐化於山中大石像前，世壽六十，戒臘四十。生前造大寺三十六所，度僧無數，傳業弟子三十二，其中著名者有灌頂、智越、智璪法師等。</w:t>
      </w:r>
    </w:p>
    <w:p w14:paraId="11BEBBEF" w14:textId="183BBCF9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大師之思想，是將《法華經》精神與龍樹教學，以中國獨特之形式加以體系化而成。又將佛教經典分類為五種，將佛陀之教化方法與思想內容分為四種，此綜合性之佛教體系的組織，被視為具有代表性之教判。依禪觀而修之止觀法門，為大師之最具獨創性者。生平撰述宏富，少部分為親自撰寫，大部分由弟子灌頂法師隨聽隨錄，整理成書。有《法華疏》、《淨名疏》、《摩訶止觀》、《維摩經疏》、《四教義》、《金剛般若經疏》、《禪門要略》、《觀心論》等數十種。</w:t>
      </w:r>
    </w:p>
    <w:p w14:paraId="5D3C8A27" w14:textId="46CD6C68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大師之著述，建立了天台一宗之解行規範，其中《法華經玄義》、《法華經文句》、《摩訶止觀》，世稱為天台三大部；又《觀音玄義》、《觀音義疏》、《金光明經玄義》、《金光明經文句》、《觀無量壽佛經疏》，稱為天台五小部。其特點在於教觀雙運、解行並重。其學說影響中國佛教頗鉅。</w:t>
      </w:r>
    </w:p>
    <w:p w14:paraId="768CDB32" w14:textId="77777777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rPr>
          <w:rFonts w:ascii="宋体" w:eastAsia="方正新书宋_GBK" w:hAnsi="宋体" w:hint="eastAsia"/>
          <w:b/>
          <w:bCs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b/>
          <w:bCs/>
          <w:sz w:val="30"/>
          <w:szCs w:val="30"/>
          <w:lang w:eastAsia="zh-TW"/>
        </w:rPr>
        <w:t>三、內　容</w:t>
      </w:r>
    </w:p>
    <w:p w14:paraId="74D23218" w14:textId="51C4A45A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《釋摩訶般若波羅蜜經覺意三昧》，全一卷。隋代天台智者大師說，門人灌頂法師記。內容援引《大集經》、《淨名經》、《普賢觀</w:t>
      </w: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經》、《大智度論》、《諸法無行經》、《思益經》、《首楞嚴經》、《瓔珞經》等，闡釋《大品經》之「覺意三昧」，為天台智者大師有關實踐觀門的重要著作之一。</w:t>
      </w:r>
    </w:p>
    <w:p w14:paraId="3ED8C2D9" w14:textId="7FE1F0F9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全文分為六章：第一、辯法相：以空、日喻，明達諸法相，即得入覺意海。第二、釋覺意三昧名：闡釋何謂「意」及何以但對「意」用覺以明三昧等。第三、釋覺意三昧方便行：說明行者善用六度方便，即可得此三昧。第四、釋覺意三昧心相：說明作為進入覺意三昧觀境之四種心相。第五、釋覺意三昧入觀門：闡釋如何觀察此心之方法。第六、釋覺意三昧證相門：說明修行覺意三昧之最初境界。</w:t>
      </w:r>
    </w:p>
    <w:p w14:paraId="1CB7C9B0" w14:textId="77777777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rPr>
          <w:rFonts w:ascii="宋体" w:eastAsia="方正新书宋_GBK" w:hAnsi="宋体" w:hint="eastAsia"/>
          <w:b/>
          <w:bCs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b/>
          <w:bCs/>
          <w:sz w:val="30"/>
          <w:szCs w:val="30"/>
          <w:lang w:eastAsia="zh-TW"/>
        </w:rPr>
        <w:t>四、現　存</w:t>
      </w:r>
    </w:p>
    <w:p w14:paraId="3A7187B5" w14:textId="19E69052" w:rsidR="006E10DC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今收錄於明版《嘉興大藏經》第三冊、清版《乾隆大藏經》第一一五冊、日版《卍正藏經》第六十三冊、《大正新修大藏經》第四十六冊、《大日本佛教全書》第二十四冊。</w:t>
      </w:r>
    </w:p>
    <w:p w14:paraId="5B054FC0" w14:textId="636470BA" w:rsidR="00723288" w:rsidRDefault="006E10DC">
      <w:pPr>
        <w:widowControl/>
        <w:jc w:val="left"/>
        <w:rPr>
          <w:rFonts w:ascii="宋体" w:eastAsia="方正新书宋_GBK" w:hAnsi="宋体"/>
          <w:sz w:val="30"/>
          <w:szCs w:val="30"/>
          <w:lang w:eastAsia="zh-TW"/>
        </w:rPr>
      </w:pPr>
      <w:r>
        <w:rPr>
          <w:rFonts w:ascii="宋体" w:eastAsia="方正新书宋_GBK" w:hAnsi="宋体"/>
          <w:sz w:val="30"/>
          <w:szCs w:val="30"/>
          <w:lang w:eastAsia="zh-TW"/>
        </w:rPr>
        <w:br w:type="page"/>
      </w:r>
      <w:r w:rsidR="00723288">
        <w:rPr>
          <w:rFonts w:ascii="宋体" w:eastAsia="方正新书宋_GBK" w:hAnsi="宋体"/>
          <w:sz w:val="30"/>
          <w:szCs w:val="30"/>
          <w:lang w:eastAsia="zh-TW"/>
        </w:rPr>
        <w:lastRenderedPageBreak/>
        <w:br w:type="page"/>
      </w:r>
    </w:p>
    <w:p w14:paraId="75D161F2" w14:textId="7339B66D" w:rsidR="006E10DC" w:rsidRDefault="006A0AA1" w:rsidP="006E10DC">
      <w:pPr>
        <w:pStyle w:val="1"/>
        <w:rPr>
          <w:lang w:eastAsia="zh-TW"/>
        </w:rPr>
      </w:pPr>
      <w:bookmarkStart w:id="1" w:name="_Toc45811381"/>
      <w:r w:rsidRPr="006A0AA1">
        <w:rPr>
          <w:rFonts w:hint="eastAsia"/>
          <w:lang w:eastAsia="zh-TW"/>
        </w:rPr>
        <w:lastRenderedPageBreak/>
        <w:t>釋摩訶般若波羅蜜經覺意三昧</w:t>
      </w:r>
      <w:bookmarkEnd w:id="1"/>
    </w:p>
    <w:p w14:paraId="404E8AB8" w14:textId="77777777" w:rsidR="006A0AA1" w:rsidRDefault="006A0AA1" w:rsidP="006E10DC">
      <w:pPr>
        <w:overflowPunct w:val="0"/>
        <w:autoSpaceDE w:val="0"/>
        <w:autoSpaceDN w:val="0"/>
        <w:snapToGrid w:val="0"/>
        <w:spacing w:line="540" w:lineRule="exact"/>
        <w:jc w:val="center"/>
        <w:rPr>
          <w:rFonts w:ascii="楷体" w:eastAsia="PMingLiU" w:hAnsi="楷体"/>
          <w:sz w:val="24"/>
          <w:szCs w:val="24"/>
          <w:lang w:eastAsia="zh-TW"/>
        </w:rPr>
      </w:pPr>
      <w:r w:rsidRPr="006A0AA1">
        <w:rPr>
          <w:rFonts w:ascii="楷体" w:eastAsia="楷体" w:hAnsi="楷体" w:hint="eastAsia"/>
          <w:sz w:val="24"/>
          <w:szCs w:val="24"/>
          <w:lang w:eastAsia="zh-TW"/>
        </w:rPr>
        <w:t>隋天台智者大師說</w:t>
      </w:r>
    </w:p>
    <w:p w14:paraId="4133AC18" w14:textId="0B045571" w:rsidR="006E10DC" w:rsidRPr="00180A81" w:rsidRDefault="006A0AA1" w:rsidP="006E10DC">
      <w:pPr>
        <w:overflowPunct w:val="0"/>
        <w:autoSpaceDE w:val="0"/>
        <w:autoSpaceDN w:val="0"/>
        <w:snapToGrid w:val="0"/>
        <w:spacing w:line="540" w:lineRule="exact"/>
        <w:jc w:val="center"/>
        <w:rPr>
          <w:rFonts w:ascii="楷体" w:eastAsia="楷体" w:hAnsi="楷体"/>
          <w:sz w:val="24"/>
          <w:szCs w:val="24"/>
          <w:lang w:eastAsia="zh-TW"/>
        </w:rPr>
      </w:pPr>
      <w:r w:rsidRPr="006A0AA1">
        <w:rPr>
          <w:rFonts w:ascii="楷体" w:eastAsia="楷体" w:hAnsi="楷体" w:hint="eastAsia"/>
          <w:sz w:val="24"/>
          <w:szCs w:val="24"/>
          <w:lang w:eastAsia="zh-TW"/>
        </w:rPr>
        <w:t>門人灌頂記</w:t>
      </w:r>
    </w:p>
    <w:p w14:paraId="765DEA0F" w14:textId="77777777" w:rsidR="006E10DC" w:rsidRPr="008D03DF" w:rsidRDefault="006E10DC" w:rsidP="006E10DC">
      <w:pPr>
        <w:overflowPunct w:val="0"/>
        <w:autoSpaceDE w:val="0"/>
        <w:autoSpaceDN w:val="0"/>
        <w:snapToGrid w:val="0"/>
        <w:spacing w:line="540" w:lineRule="exact"/>
        <w:rPr>
          <w:rFonts w:ascii="宋体" w:eastAsia="方正新书宋_GBK" w:hAnsi="宋体"/>
          <w:sz w:val="30"/>
          <w:szCs w:val="30"/>
          <w:lang w:eastAsia="zh-TW"/>
        </w:rPr>
      </w:pPr>
    </w:p>
    <w:p w14:paraId="4E660A53" w14:textId="77777777" w:rsidR="006A0AA1" w:rsidRPr="006A0AA1" w:rsidRDefault="006A0AA1" w:rsidP="006A0AA1">
      <w:pPr>
        <w:pStyle w:val="2"/>
        <w:rPr>
          <w:rFonts w:hint="eastAsia"/>
          <w:lang w:eastAsia="zh-TW"/>
        </w:rPr>
      </w:pPr>
      <w:bookmarkStart w:id="2" w:name="_Toc45811382"/>
      <w:r w:rsidRPr="006A0AA1">
        <w:rPr>
          <w:rFonts w:hint="eastAsia"/>
          <w:lang w:eastAsia="zh-TW"/>
        </w:rPr>
        <w:t>辯法相第一</w:t>
      </w:r>
      <w:bookmarkEnd w:id="2"/>
    </w:p>
    <w:p w14:paraId="3BA6FD4D" w14:textId="3D3B6A0A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夫行人欲度生死大海，登涅槃彼岸者，必須了達妄惑之本，善知至道出要。妄惑之本，是即意之實際；至道出要，所謂反照心源。識之實際，即是正因佛性；反照心源，即了因也。而此二因攝一切法，罄無不盡，譬如清淨虛空之中，圓滿日光湛然而照。然此空之與日，非即非離，非住非不住，而日善作破暗良緣，顯空之要。</w:t>
      </w:r>
    </w:p>
    <w:p w14:paraId="10504313" w14:textId="2B5FC9B7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雖復滅暗顯空，空無損益。理實無損，事以推之，暗蔽永除，性乃無增，空界所含萬象皆現。而此虛空性雖清淨，若無日光，則有暗起，非以虛空空故，自能除暗。暗若除者，必假日光。日若無空，無光無照；空若無日，暗不自除。</w:t>
      </w:r>
    </w:p>
    <w:p w14:paraId="4D04A666" w14:textId="14CA4148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然此暗性無來無去，日之體相亦不生滅，但有日照空，則乾坤洞曉，以智慧日，照心性空亦復如是。如日非即空，亦不離虛空。若日即是空，虛空何能照？若日離於空，則不應依空而有照。慧日亦如是，非即心性空，非離心性空。若即心性空，則不因修而有照；若離心性空，修亦不能照。如日非住空，亦非不住空。以不住空故，能照一切空，非不住空故，終不墮於空。慧日亦如是，深觀心性空，不住心性空，能照</w:t>
      </w: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一切空，非不住空故。雖照一切空，慧心無動退。</w:t>
      </w:r>
    </w:p>
    <w:p w14:paraId="46708161" w14:textId="2E372BCB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如日能破暗，顯出虛空相。慧日亦如是，能破無明暗，顯發心實相。</w:t>
      </w:r>
    </w:p>
    <w:p w14:paraId="65203669" w14:textId="1597CCE9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如日雖滅暗，顯於虛空相，而空無損益。慧日亦如是，能除無明暗，顯發心實相，而於心性空，不增亦不減。如日不損空，亦復不益空，能除空中暗，顯空界萬象。慧日亦如是，雖於心性空，無損亦無益，能斷諸煩惱，而成就萬行，顯現一切法。</w:t>
      </w:r>
    </w:p>
    <w:p w14:paraId="1FD4419F" w14:textId="7B9CC907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如空雖清淨，無日故暗起。心性亦如是，本來雖清淨，以無智慧光，則有妄惑起。如空雖清淨，不能自除暗，而暗得除者，必假於日光。心性空亦爾，本來雖清淨，不能自除惑，而惑得滅者，必以智慧照。</w:t>
      </w:r>
    </w:p>
    <w:p w14:paraId="2CE644AF" w14:textId="48D90F33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如日若無空，則無光亦無照，空若無日者，則暗終不除。慧日亦如是，若無心性空，則何能有所照？若心性空無慧，妄惑終不斷。如暗無去來，日亦不生滅。解惑亦如是，假名說破惑，惑性無所有，不來亦不去，實亦無所破。</w:t>
      </w:r>
    </w:p>
    <w:p w14:paraId="3EE4246D" w14:textId="4A28E288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智慧雖普照，其性常寂然，不生亦不滅，畢竟無所照。如有日照空，則乾坤洞然曉。反觀心性空，則一切世間諸法及一切出世間法朗然圓顯。以是義故，說智慧照於心性，如空中之日。</w:t>
      </w:r>
    </w:p>
    <w:p w14:paraId="51564097" w14:textId="1D874E6E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若能尋空、日十喻，達諸法相，因此入覺意海，是則名為辯諸法相也。</w:t>
      </w:r>
    </w:p>
    <w:p w14:paraId="74F8B645" w14:textId="77777777" w:rsidR="006A0AA1" w:rsidRPr="006A0AA1" w:rsidRDefault="006A0AA1" w:rsidP="006A0AA1">
      <w:pPr>
        <w:pStyle w:val="2"/>
        <w:rPr>
          <w:rFonts w:hint="eastAsia"/>
          <w:lang w:eastAsia="zh-TW"/>
        </w:rPr>
      </w:pPr>
      <w:bookmarkStart w:id="3" w:name="_Toc45811383"/>
      <w:r w:rsidRPr="006A0AA1">
        <w:rPr>
          <w:rFonts w:hint="eastAsia"/>
          <w:lang w:eastAsia="zh-TW"/>
        </w:rPr>
        <w:lastRenderedPageBreak/>
        <w:t>釋覺意三昧名第二</w:t>
      </w:r>
      <w:bookmarkEnd w:id="3"/>
    </w:p>
    <w:p w14:paraId="047577F8" w14:textId="6AD88F53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問曰：云何名為覺意三昧？何等是意？菩薩覺是意故，即得具足三摩提耶？且復諸法無量，何以但對意用覺以明三昧？</w:t>
      </w:r>
    </w:p>
    <w:p w14:paraId="29882529" w14:textId="10FF5A4B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答曰：覺名照了，意名諸心心數，三昧名調直定。行者諸心心數起時，反照觀察，不見動轉，以是義故，名為覺意三昧。</w:t>
      </w:r>
    </w:p>
    <w:p w14:paraId="670654FB" w14:textId="2F379B88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如所問言「諸法無量」，何以但對意用覺以明三昧，不論餘者？</w:t>
      </w:r>
    </w:p>
    <w:p w14:paraId="78F71F23" w14:textId="0356714C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答：一切諸法雖復無量，然窮其本源，莫不皆從心、意、識造。所以然者，有人言：若初對境覺知，異乎木石，名為心；次籌量分別，名曰意；了了識達，名之識。是為心、意、識之別。如是取者，即墮心顛倒、想顛倒、見顛倒中。</w:t>
      </w:r>
    </w:p>
    <w:p w14:paraId="2F2071E3" w14:textId="26452FA0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若能了知心中非有意，亦非不有意，則心中非有識，亦非不有識；若意中非有心，亦非不有心，則意中非有識，亦非不有識；若識中不有意，亦非不有意，則識中非有心，亦非不有心。是心、意、識非一故，立三名；非三故，說一性。若名非名，則性亦非性。非名故不三，非性故不一，非三故不合，非一故非散，非合故不有，非散故不空，非有故不常，非空故不斷，是故心、意、識不斷亦不常。若不見斷常，終不見一異。是故說意者，即攝於心、識義，一切法亦然。</w:t>
      </w:r>
    </w:p>
    <w:p w14:paraId="0ABDD474" w14:textId="4740DDBF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若能深心觀察，破意無明，則餘癡使亦皆隨滅。是諸法雖復眾多，但舉覺意以明三昧，其義苞含，靡所不攝也。</w:t>
      </w:r>
    </w:p>
    <w:p w14:paraId="2F8C2874" w14:textId="1E87D350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復次，如經中說：「云何名覺意三昧？於諸三昧中得七覺意故，名</w:t>
      </w: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覺意三昧。」所言「諸三昧」者，一切法皆是三摩提，以諸法本來常寂不動故。復次，「三摩提」，略說者有三種：一者、世間；二者、出世間；三、出世間上上。世間三摩提者，所謂欲界散心中十大地定、數欲界定、未到地定、四禪、四無量心、四無色定。出世間三摩提者，謂背捨、勝處、十一切處、九次第定、師子奮迅、超越等行行觀鍊熏修禪，乃至慧行三十七品、三解脫門、四諦、十二因緣等三昧。出世間上上三摩提者，所謂十力種性三昧、首楞嚴等百八三昧，乃至如十方界微塵等數三昧。是為三種三摩提，攝一切法，即是一切法，故名諸三昧。</w:t>
      </w:r>
    </w:p>
    <w:p w14:paraId="17163648" w14:textId="5BC25F41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云何得名七覺意？七覺意者：一、擇覺；二、精進覺；三、喜覺；四、除覺；五、捨覺；六、定覺；七、念覺。是為七覺。七覺之義乃有多途，舉要略明，不出六種。何等為六？一者、因聞七覺；二者、修行七覺；三者、會理七覺；四者、起方便七覺；五者、入法門七覺；六者、圓極七覺。</w:t>
      </w:r>
    </w:p>
    <w:p w14:paraId="4A2D33D5" w14:textId="4ACD2D7C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第一、因聞七覺者，一切諸法本性空寂，畢竟清淨，而諸眾生無能知者。若遇諸佛菩薩及善知識說一切諸法本來空寂，是人聞已，即大驚悟，因是了達心及諸法一切三摩提畢竟清淨，空無所有，得七覺意。是人因聞發故，故名因聞七覺。</w:t>
      </w:r>
    </w:p>
    <w:p w14:paraId="432A5DC0" w14:textId="3C56C4F7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第二、修行七覺者，若行人雖知心及諸法一切三摩提空無生滅，而倒想猶起，隨所起念，常以七覺調適，修心反照觀察。以觀行調適故，即便豁然覺了心及諸法一切三摩提，從本以來不生不滅，如大涅槃，是則名為修行七覺也。</w:t>
      </w:r>
    </w:p>
    <w:p w14:paraId="0E748743" w14:textId="67CF062E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第三、會理七覺者，若人藉此信、法二行因緣，悟心及諸法一切三</w:t>
      </w: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摩提理同一真如，而知真如亦非真如。若覺悟真如者，則於真如之理具七覺意，是以不住真如實際作證，是則名為會理七覺也。</w:t>
      </w:r>
    </w:p>
    <w:p w14:paraId="2775C825" w14:textId="0C2CF35F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第四、起方便七覺者，若行人得理不證，憐愍眾生，興心萬行，隨有所行，悉知寂滅。雖知無住、無行，而以七覺善巧，修一切自利利他三摩提行，如空中種樹，是則名為起方便七覺也。</w:t>
      </w:r>
    </w:p>
    <w:p w14:paraId="6C8BECC2" w14:textId="33814320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第五、入法門七覺者，菩薩若能如是不依心及諸法一切三摩提，若真若俗，即是具足二空之觀，得入中道，雙照二諦，隨心所念，則自然出生一切十力種性諸三昧等，而亦不得諸三昧相。所以者何？諸陀羅尼相空諸三昧，諸三昧相空故，於一切陀羅尼三昧功德智慧中，心無住著，是則菩薩七覺分分圓顯，故名入法門七覺，亦名開佛知見。若能開佛知見，則心心寂滅，自然流入十住、十行、十迴向、十地及等覺清淨禪中，是故得名入法門七覺也。</w:t>
      </w:r>
    </w:p>
    <w:p w14:paraId="4F06CCF4" w14:textId="00F904A3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第六、圓極七覺者，若菩薩摩訶薩住金剛三昧清淨禪中，朗然大悟，得一念相應慧，寂然圓照一切，了了分明，是名圓極七覺，亦名無上妙覺，亦名無學七覺。</w:t>
      </w:r>
    </w:p>
    <w:p w14:paraId="1A41C602" w14:textId="2A84DA5E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以如是等諸七覺義故，菩薩從初發心所有觀行法門，終至極果，通名七覺意，亦名觀心相，亦名反照識。如是等種種名字無量三昧者，秦言調直心，亦名常寂定。如明鏡不動，靜水無波，若對眾境，影像皆現。心亦如是，性雖明淨，以念動故，則無所照了。因上修習，即得念無動轉，普現法門，對此定已，心無邪曲，名為三昧，故云覺意三昧。</w:t>
      </w:r>
    </w:p>
    <w:p w14:paraId="68560055" w14:textId="77777777" w:rsidR="006A0AA1" w:rsidRPr="006A0AA1" w:rsidRDefault="006A0AA1" w:rsidP="006A0AA1">
      <w:pPr>
        <w:pStyle w:val="2"/>
        <w:rPr>
          <w:rFonts w:hint="eastAsia"/>
          <w:lang w:eastAsia="zh-TW"/>
        </w:rPr>
      </w:pPr>
      <w:bookmarkStart w:id="4" w:name="_Toc45811384"/>
      <w:r w:rsidRPr="006A0AA1">
        <w:rPr>
          <w:rFonts w:hint="eastAsia"/>
          <w:lang w:eastAsia="zh-TW"/>
        </w:rPr>
        <w:lastRenderedPageBreak/>
        <w:t>釋覺意三昧方便行第三</w:t>
      </w:r>
      <w:bookmarkEnd w:id="4"/>
    </w:p>
    <w:p w14:paraId="4657B344" w14:textId="6C3384CE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問曰：已知覺意三昧名義如是，行者行何方便得此三昧，於諸三昧得七覺意，入深法性，到大涅槃，獲常、樂、我、淨，為一切眾生作無上洲渚？</w:t>
      </w:r>
    </w:p>
    <w:p w14:paraId="2D85113E" w14:textId="0F7AB765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答曰：行者為成就大悲度眾生故，求無上菩提至真之道，先當立大誓願，發志誠心，以誓自要：若我所學，其事不成，終不中途有悔，生退沒心。爾時，心如金剛，決定信知諸法畢竟空寂，而不捨無邊眾生，故修諸行。</w:t>
      </w:r>
    </w:p>
    <w:p w14:paraId="64F353AF" w14:textId="71DA5390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云何為修？</w:t>
      </w:r>
    </w:p>
    <w:p w14:paraId="65DE4A72" w14:textId="5FC4AC27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若行者了知心及一切諸法皆無所有，不生不滅，寂然清淨，而能善用六度方便，以自調伏虛妄之心。妄心既息，三昧自發。</w:t>
      </w:r>
    </w:p>
    <w:p w14:paraId="386330B4" w14:textId="170D434A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何等為六？</w:t>
      </w:r>
    </w:p>
    <w:p w14:paraId="50503B10" w14:textId="72DB2FAB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若行者知心及物，如夢所見，皆無有實，是於一切所有悉能捨離，常自覺識，不令慳著想起，亦當迴此清淨捨心，遍施眾生，是時名修淨施之心。因是心故，則能趣向檀波羅蜜。</w:t>
      </w:r>
    </w:p>
    <w:p w14:paraId="30F6AE34" w14:textId="5DC09F64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若行者知心如幻，外諸惡法皆不可得，雖對眾境，常自覺了，不令惡念心生，是時名修淨戒之心。因此心故，則能趣向尸波羅蜜。</w:t>
      </w:r>
    </w:p>
    <w:p w14:paraId="0285CF1F" w14:textId="41AFAB4D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若行者知心如燄，空無根本，外之八法亦皆無實，是故利、衰、毀、譽、稱、譏、苦、樂，常自覺了，不生愛恚，是名修堅固忍。因此心故，則能趣向羼提波羅蜜。</w:t>
      </w:r>
    </w:p>
    <w:p w14:paraId="62677DA6" w14:textId="0B4B7900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若行者知心如化，常自覺了觀行相續，不令懈怠放逸心生，是時名修精進之心。因此心故，則能趣向毗梨耶波羅蜜。</w:t>
      </w:r>
    </w:p>
    <w:p w14:paraId="374C3BA6" w14:textId="696DA82C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若行者知心如鏡中像，一切所緣諸法皆無所有，於行、住、坐、臥四威儀中，亂想不起，假令失念，尋即覺知，故妄波不起，心常寂然，是時名修清淨定心。因是心故，則能趣向禪波羅蜜。</w:t>
      </w:r>
    </w:p>
    <w:p w14:paraId="478D3078" w14:textId="2ED9A283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若行者了知心如虛空，六識所緣內外諸法皆無所有，畢竟空寂，善用無所得心，破諸顛倒，不得一切法，不著一切法，了達一切法，是時名修正智慧心。因是心故，則能趣向般若波羅蜜。</w:t>
      </w:r>
    </w:p>
    <w:p w14:paraId="0E894211" w14:textId="45BA0298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行者若不修如上六種向道清淨之心，則不堪修甚深三昧。是故欲修覺意三昧者，應須善學如上六度方便。此六方便攝一切方便，若能善用調伏六蔽麤心，令意柔輭，然後審諦細心觀察，入正慧門，是名習學甚深三昧初心方便。</w:t>
      </w:r>
    </w:p>
    <w:p w14:paraId="42B841D2" w14:textId="77777777" w:rsidR="006A0AA1" w:rsidRPr="006A0AA1" w:rsidRDefault="006A0AA1" w:rsidP="006A0AA1">
      <w:pPr>
        <w:pStyle w:val="2"/>
        <w:rPr>
          <w:rFonts w:hint="eastAsia"/>
          <w:lang w:eastAsia="zh-TW"/>
        </w:rPr>
      </w:pPr>
      <w:bookmarkStart w:id="5" w:name="_Toc45811385"/>
      <w:r w:rsidRPr="006A0AA1">
        <w:rPr>
          <w:rFonts w:hint="eastAsia"/>
          <w:lang w:eastAsia="zh-TW"/>
        </w:rPr>
        <w:t>釋覺意三昧明心相第四</w:t>
      </w:r>
      <w:bookmarkEnd w:id="5"/>
    </w:p>
    <w:p w14:paraId="31C1DF3F" w14:textId="6E3C3F19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問曰：行者欲入此三昧，當對幾心相而觀察之？</w:t>
      </w:r>
    </w:p>
    <w:p w14:paraId="759E3213" w14:textId="184D952D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答曰：諸經論中辯心相各各不同，今不具述，是中略明四種心相以為觀境。何等為四？一者、未念；二者、欲念；三者、念；四者、念已。未念，名心未起緣境。欲念，名心欲起緣境。念，名緣境心滿住。念已，名緣境心滿足已謝滅。</w:t>
      </w:r>
    </w:p>
    <w:p w14:paraId="50F3F9F6" w14:textId="736092D2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問曰：心相眾多，何以但舉此四運心相？</w:t>
      </w:r>
    </w:p>
    <w:p w14:paraId="564F5548" w14:textId="5AED7A53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答曰：此四運心相攝一切心。如緣惡法，未念惡法、欲念惡法、念惡法、念惡法已；如緣善法，未念善、欲念善、念善，念善已。緣諸六塵及三毒等一切煩惱，乃至行、住、坐、臥、言語、飲食，所作施為一切諸事，皆有如上四相之心。及緣一切世間法，皆有如此四相之心。是故但說四種之相以為觀境，靡所不攝。</w:t>
      </w:r>
    </w:p>
    <w:p w14:paraId="3C879448" w14:textId="637A9BB1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問曰：何謂為相？</w:t>
      </w:r>
    </w:p>
    <w:p w14:paraId="385061ED" w14:textId="71B3B176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答曰：攬而可別，名為相。心識之法既無形質，若不約此四運之念分別，則難可了知。若不可了知，則不可觀察。故須先以四相分別，若觀分明，了達此相非相，即入一相平等。</w:t>
      </w:r>
    </w:p>
    <w:p w14:paraId="7EC99DC8" w14:textId="15ABE5BE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問曰：觀欲念、念二運心相可爾。未念未起則為無心，無心故，則無相可分別。念已已滅，亦與無無異，無法即無相，云何可觀？</w:t>
      </w:r>
    </w:p>
    <w:p w14:paraId="17B6F5F3" w14:textId="7E9976D2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答曰：未念雖未起，而非畢竟無心。所以者何？譬如人未作，後有緣事即便作。作不可以未作故，即便無人。若定無人，後誰作作？以有未作人故，則後有作人心相亦應如是。因未念故，得有欲念。若無未念之心，何得有欲念心耶？是故未念雖未起，不得言畢竟無也。</w:t>
      </w:r>
    </w:p>
    <w:p w14:paraId="424CA9FE" w14:textId="60705D75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汝言念已，心已滅，則不可觀者，是亦不然。念已雖滅，亦可觀察。譬如人作竟，不得言無人。若定無人者，後誰更作？念已心滅亦復如是，不得言永滅無心。若心滅已永滅者，則是斷見，說無因果。是故念已雖滅，亦可得觀。</w:t>
      </w:r>
    </w:p>
    <w:p w14:paraId="122254A9" w14:textId="51BE456B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問曰：汝云何觀心？若觀過去心，過去心已過；若觀未來心，未來心未至；若觀現在心，現在心不住。若離三世，則無有別心，更觀何等</w:t>
      </w: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心？</w:t>
      </w:r>
    </w:p>
    <w:p w14:paraId="4A1693A3" w14:textId="0B79F3A4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答曰：汝問非也。若過去永滅，畢竟不可知者，云何諸聖人能知一切過去心？若未來心未至，不有不可知，云何諸聖人能知一切未來心？若現在心無住不可知，云何諸聖人能知一切十方眾生現在念事？如世鬼神，尚自能知己三世心，亦能知他三世之心，何得佛法行人而起斷滅見，謂無三世心，如龜毛、兔角不可得知？當知三世之心雖無定實，亦可得知，故偈云：「諸佛之所說，雖空亦不斷，相續亦不常，罪福亦不失。」汝勿斷見，住無所知，不修觀行。猶如盲人，雖對眾色而無所見。汝亦如是，於佛法中無正觀眼，空無所獲。</w:t>
      </w:r>
    </w:p>
    <w:p w14:paraId="039D9E2D" w14:textId="77777777" w:rsidR="006A0AA1" w:rsidRPr="006A0AA1" w:rsidRDefault="006A0AA1" w:rsidP="006A0AA1">
      <w:pPr>
        <w:pStyle w:val="2"/>
        <w:rPr>
          <w:rFonts w:hint="eastAsia"/>
          <w:lang w:eastAsia="zh-TW"/>
        </w:rPr>
      </w:pPr>
      <w:bookmarkStart w:id="6" w:name="_Toc45811386"/>
      <w:r w:rsidRPr="006A0AA1">
        <w:rPr>
          <w:rFonts w:hint="eastAsia"/>
          <w:lang w:eastAsia="zh-TW"/>
        </w:rPr>
        <w:t>釋覺意三昧入觀門第五</w:t>
      </w:r>
      <w:bookmarkEnd w:id="6"/>
    </w:p>
    <w:p w14:paraId="50C9D1AE" w14:textId="60847EEB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問曰：已知四運心相攝一切心，行者云何觀察此心，通達實相，圓照分明諸三昧，具七覺意？</w:t>
      </w:r>
    </w:p>
    <w:p w14:paraId="697DD5ED" w14:textId="5605DAE1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答曰：行者先以大誓莊嚴，善修如上六度法門以調其心，信知諸法畢竟空寂，而我為無明所覆，未能覺了，必須勤修正觀行到，乃知豈可虛心妄解而自毀傷。既能善自調和，然後隨心所起，以無所住著之心，反照觀察未念、欲念、念、念已之相。</w:t>
      </w:r>
    </w:p>
    <w:p w14:paraId="1B84DD83" w14:textId="39AADDF4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爾時，諦觀未念心為滅，欲念心生？未念心為不滅，欲念心生？未念心為亦滅亦不滅，欲念心生？未念心為非滅非不滅，欲念心生？如此於未念四句中觀欲念心生皆不可得。若不得欲念心生，亦不得不生，即於心性而得解脫。</w:t>
      </w:r>
    </w:p>
    <w:p w14:paraId="53329A18" w14:textId="6B11A8EA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云何名於未念四句中觀欲念心生不可得？</w:t>
      </w:r>
    </w:p>
    <w:p w14:paraId="574E6AB3" w14:textId="1F89F998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一、先約未念初句觀欲念心生不可得。若謂未念心滅，有欲念心生者，未念心已滅，欲念何處生？為即未念滅生，為離未念滅生？若即未念滅，生欲念者，滅法不應生，以生滅性相違故。若謂即滅中有生，生滅不相違者，是事不然。若爾，應如熟果，皮中有核，皮爛核出，皮非是核，核非是皮，何得皮即是核？心法亦如是，即滅不得有生，是故即未念滅，欲念心生不可得。</w:t>
      </w:r>
    </w:p>
    <w:p w14:paraId="66DDFF2F" w14:textId="0B38F4F1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若謂離未念滅，有欲念心生者，則為無因而有生，是事不然。以生無所從生，是則不名為生。如虛空無所從生，故虛空不名為生。當知離未念滅，欲念心生不可得。行者如是若即若離中觀未念心滅，欲念心生畢竟不可得。</w:t>
      </w:r>
    </w:p>
    <w:p w14:paraId="6D939B18" w14:textId="23198849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二、明約未念第二句觀欲念心生不可得。若謂未念心不滅，欲念心生者，為即不滅生，為離不滅生？若即不滅生，不滅已是生，是生何得生？若是生能生，此生復應有生，生則有無窮生。若此生生生，是事不然。若是一體生一，中不應有多生，如一指中，則無多指。若是異體生，則不應名生生，以生體別，不能相生故。如桃、柰體別，桃不生柰，柰不生桃。是故即未念不滅，欲念心生不可得。</w:t>
      </w:r>
    </w:p>
    <w:p w14:paraId="52B1CC92" w14:textId="258E1DFB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若謂離未念不滅，有欲念心生者，欲念何處生？若生無處生，即是無因生。若是無因生，是則為非生。非生而說生者，是事不然。以墮無因果過。如說石女之子、黃門之兒。當知離未念不滅，有欲念心生不可得。行者如是，若即若離中，觀未念不滅，欲念心生畢竟不可得。</w:t>
      </w:r>
    </w:p>
    <w:p w14:paraId="0671A6D3" w14:textId="5820E845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三、明約未念第三句觀欲念心生不可得。若謂未念心亦滅亦不滅，有欲念心生者，若是亦滅，生何須亦不滅？若是亦不滅，生何須亦滅？以不定因，不能有定果故，不能根人不能生定根之子。若謂亦滅、亦不滅，體一無異故，有欲念心生者，是事不然。而今亦滅非亦不滅，亦不滅非亦滅，性相違故，不應體一，不異能生於欲念。如不定根人二根體非一故，不能生一子。若謂亦滅、亦不滅體異，二各能生欲念者，體異即還是定滅、定不滅，何名亦滅亦不滅？若是定滅、定不滅各能生欲念者，即應二欲念生。今實不爾，若二各不生，則無欲念生。行者如是觀時，未念亦滅亦不滅，欲念心生畢竟不可得。</w:t>
      </w:r>
    </w:p>
    <w:p w14:paraId="51199CFB" w14:textId="017B80DA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次明約未念第四句觀欲念心生不可得。若謂未念心非滅非不滅，有欲念心生者，若因非滅生，不須非不滅；若因非不滅生，則不須非滅。所非各異，不應俱以為因，亦是相違之因不能共有一果故。如水、火互非，終不於中而生果實。</w:t>
      </w:r>
    </w:p>
    <w:p w14:paraId="5EA82917" w14:textId="7A0AE03E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若謂俱因二非而有生者，是事不然。若二非之處各是有者，二有還應生二生。今實不爾。若二非之處各是無，則無能生，何能生所？若無能生，生所生者，即生不名為所生，以所生無從生故。行者如是觀非滅非不滅，欲念心生畢竟不可得。</w:t>
      </w:r>
    </w:p>
    <w:p w14:paraId="6D74FBBA" w14:textId="38E6E6A0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復次，行者既能如是約初運未念四句中觀欲念心生不可得已，即當還約欲念心生四句轉觀，觀未念心滅不可得。</w:t>
      </w:r>
    </w:p>
    <w:p w14:paraId="3BE9FB4B" w14:textId="0E499B72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云何為觀？若謂未念心是滅者，為欲念心生，未念心滅？為欲念心不生，未念心滅？為欲念心亦生亦不生，未念心滅？為欲念心非生非不生，未念心滅？如是還反約欲念中四句推求，未念心滅畢竟不可得。推</w:t>
      </w: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檢之相，還轉用上約未念中四句觀欲念意言句一類，細比作自得具作云云。</w:t>
      </w:r>
    </w:p>
    <w:p w14:paraId="1A5A354E" w14:textId="3CA943B3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若行者不得未念、欲念心生滅，則不得不生滅、亦生滅亦不生滅、非生滅非不生滅，但以凡夫顛倒，妄於未念、欲念及一切法中計有生滅，乃至非生滅非不生滅。顛倒妄計之生滅，乃至非生滅非不生滅，虛誑無實，皆不可得，但有名字。名字之法不在內、外、兩中間，亦不常自有，即是無名字。</w:t>
      </w:r>
    </w:p>
    <w:p w14:paraId="67412AA3" w14:textId="151E152D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若不得生滅等四句名字，亦不得無名字。不得名字故，非假；不得無名字故，非空。不得假故，非俗；不得空故，非真。不得俗故，非世間；不得真故，非出世間。不得世間故，非有漏；不得出世間故，非無漏。不得有漏故，非生死；不得無漏故，非涅槃。行者如是觀未念、欲念時，若不得二邊，則不取二邊；若不取二邊，則不執二邊，起諸結業；若無二邊結業障覆，正觀之心猶如虛空，湛然清淨。因是中道正慧朗然開發，雙照二諦，心心寂滅，自然流入大涅槃海。若觀未念、欲念如是，餘念、念已及一切心法，類亦可知。是則略說正觀相。</w:t>
      </w:r>
    </w:p>
    <w:p w14:paraId="4A0D9C9C" w14:textId="3E1F14EC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復次，夫修正觀，則有二種：一者、總觀；二者、歷別觀。第一、所言總觀者，若行人未有大方便力，不能一切處中觀察實相，故當先於坐中照了心意，是則名為總觀心意。第二、所以名為別觀者，若行人方便善巧，能一切處中常得用心，是歷別觀於心意。</w:t>
      </w:r>
    </w:p>
    <w:p w14:paraId="073DEE02" w14:textId="449700CB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復次，行者欲入三昧，要先於坐中而觀心意，然後亦當一切處中悉觀心意。所以者何？四威儀中，唯獨坐時身心安隱，不沈不浮，不異緣生故，則心審諦，易有觀法，故經云：「端坐念實相，是名第一懺。」</w:t>
      </w: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是故行者當先於閑房靜室而修三昧。</w:t>
      </w:r>
    </w:p>
    <w:p w14:paraId="6DE07454" w14:textId="4740B07B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云何為修行者應當善自調和身心等事？事如禪法中說，此中應廣明。行者既能善自調和，是時當於坐中正念觀察心、意、識等四運之義，悉不可得。觀行破析，悉如上說，是時名於坐禪中修行三昧。行者如是知心、意、識不見不得，復當隨有所作，一一諦觀內、外心。外心名作者，內心名受者。《大集經》中說作者、受者，行人觀於作者凡有六事，觀於受者亦有六種，內外俱觀有十二種。是三昧境能生三昧，行者應當隨所起處而觀察之。</w:t>
      </w:r>
    </w:p>
    <w:p w14:paraId="42416883" w14:textId="17BF3767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外作六者，所謂：一、行；二、住；三、坐；四、臥；五、作作；六、言談。內受六者，所謂：一、眼受色；二、耳受聲；三、鼻受香；四、舌受味；五、身受觸；六、意緣法。是為十二觀境，是三昧門第一。</w:t>
      </w:r>
    </w:p>
    <w:p w14:paraId="6253356A" w14:textId="1DBD204B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若於行時，即應觀行中未行、欲行、行、行已心相通達，皆不可得。雙照分明，如前所說。復作是念：「如是行動，由心運役，故有去來。」反觀行心，不見住處，無有生滅一切相貌。當知行者畢竟空寂。</w:t>
      </w:r>
    </w:p>
    <w:p w14:paraId="2D351CD1" w14:textId="7B8CA7B9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第二、若於住時，即應諦觀未住、欲住、住、住已心相皆不可得。雙照分明，具如前說。復作是念：「如此住者，由心制御，豎身安立，故名為住。」反觀住心，不見處所，況復生滅一切相貌。當知住者畢竟空寂。</w:t>
      </w:r>
    </w:p>
    <w:p w14:paraId="2166E6D5" w14:textId="5E0B532D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第三、若於坐時，即應諦觀未坐、欲坐、坐、坐已心相皆不可得。雙照分明，亦如前說。復作是念：「如此坐者，由心迴轉，屈腳安身，</w:t>
      </w: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故名為坐。」反觀坐心，不見生滅，亦非內外。當知坐者畢竟空寂。</w:t>
      </w:r>
    </w:p>
    <w:p w14:paraId="03B24B81" w14:textId="7382BFA2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第四、於眠寢時，即應諦觀未眠、欲眠、眠、眠已心相皆不可得。雙照分明，亦如上說。復作是念：「如是眠者，由心勞乏，即便放任六分委臥，故名為眠。」反觀眠心，不見相貌。當知眠者畢竟空寂。</w:t>
      </w:r>
    </w:p>
    <w:p w14:paraId="6A074A55" w14:textId="79FEA555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第五、若於作時，即應諦觀未作、欲作、作、作已心相皆不可得。雙照分明，亦如上說。復作是念：今運身手，作諸事業，舉手下手，由心迴轉，得成眾事，故名為作。反觀作心，不見動轉。當知作者畢竟空寂。</w:t>
      </w:r>
    </w:p>
    <w:p w14:paraId="34BBA11B" w14:textId="391994E8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第六、行者若於言語讀誦之時，即應諦觀未語、欲語、語、語已心相皆不可得。雙照分明，亦如上說。復作是念：「如是音聲，有所談吐，由心覺觀，鼓動氣息，衝於六處：咽、喉、脣、舌、齒、齶等，故有此言談。」反觀語心，不見蹤跡，音聲住空，當知語者畢竟空寂。</w:t>
      </w:r>
    </w:p>
    <w:p w14:paraId="7CAF2068" w14:textId="257258D5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是為行者觀於外心六種事業，悉知空寂，不見作者有定實相。是故菩薩於一切事中修行三昧，故《般若經》中佛告須菩提：「若菩薩摩訶薩行時知行，乃至坐時知坐，臥時、言語、身服僧伽梨時，悉知已，不可得故，是為菩薩摩訶衍。」</w:t>
      </w:r>
    </w:p>
    <w:p w14:paraId="657B347C" w14:textId="2EC6A0F9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復次，行者觀於內心有六種受，知無受者。所以者何？諸受雖空，若不觀察，能作無量煩惱生死因緣。是故行者應當隨是諸根所受塵時，一一觀察。云何觀察？</w:t>
      </w:r>
    </w:p>
    <w:p w14:paraId="429958E1" w14:textId="151A2FC6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第一、行者眼見色時，即應諦觀未見色、欲見色、見色、見色已四運之相皆不可得。雙照分明，廣說如上。復作是念：「如是見者，即無</w:t>
      </w: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見相。所以者何？於彼根塵空明之中，各各無見，亦無分別，和合因緣出生眼識，眼識因緣出生意識，意識出時，即能分別種種諸色。亦依於意識，則有眼識，眼識因緣，能見於色而生貪著。」是故即當反觀念色之心。如是觀時，不見此心從外來入，而生領納，亦復不見心從內出，而生分別。所以者何？外來於我無事，若自有，不待因緣。當知受者畢竟空寂，故淨名菩薩云：「所見色與盲等。」</w:t>
      </w:r>
    </w:p>
    <w:p w14:paraId="0FF395CB" w14:textId="28A78510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第二、行者耳聞聲時，即應諦觀未聞聲、欲聞聲、聞聲、聞聲已四運之相皆不可得。雙照分明，廣說如上。復作是念：「如是聞聲，無有自性，但從根塵和合而生，是意識想分別故，於所聞生諸煩惱及於惡業。」即當反觀緣聲心識，不見體性。當知聞者畢竟空寂，故淨名菩薩言：「所聞聲與響等。」</w:t>
      </w:r>
    </w:p>
    <w:p w14:paraId="68DF4241" w14:textId="3DA89140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第三、行者鼻嗅香時，即應諦觀未嗅香、欲嗅香、嗅香、嗅香已四運之心皆不可得。雙照分明，廣說如上。復作是念：「如是香者，是無知法，所有鼻根，本亦無知，和合生識，假名說知。虛妄意識得所領納，而生分別，起諸煩惱生死業行。」即當反觀意識，不見根源及與相貌。當知領受者畢竟空寂，故淨名菩薩言：「所嗅香與風等。」</w:t>
      </w:r>
    </w:p>
    <w:p w14:paraId="57FD9C8A" w14:textId="06D9274F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第四、行者舌受味時，即應諦觀未受味、欲受味、受味、受味已四運之相皆不可得。雙照分明，廣說如上。復作是念：「如是受味，實無自性。所以者何？外六味，六味無分別，內舌根，本無知故，但從和合因緣而生舌識。此識亦不定在內、外、兩中間故，是中心意強取味相，生著分別，故有一切諸使煩惱。」是時，即當反觀著味心、意、識等，不見住處，況有生滅一切相貌。當知分別味者畢竟清淨，故淨名菩薩</w:t>
      </w: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言：「所食味不分別。」</w:t>
      </w:r>
    </w:p>
    <w:p w14:paraId="2A8F9CC6" w14:textId="53C5BA1F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第五、行者身覺觸時，即應諦觀未覺觸、欲覺觸、覺觸、覺觸已四運之相皆不可得。雙照分明，廣說如上。復作是念：「如是覺者，不從內生，亦不從外來。所以者何？冷、暖、輭、滑等，悉非外來故。離冷、暖等，無別來法故，身頭等六分非是生法故，離身六分亦無生法故，二和合身識生時，即名為覺。而此識性不在內外，無所依倚，但以心意強作分別，謂證諸觸，生苦樂想，故有愛、恚一切煩惱。」是時，即當反觀緣觸心識，不見住處，況有生滅一切相貌。當知能覺觸者畢竟空寂，故淨名菩薩言：「受觸如智證。」</w:t>
      </w:r>
    </w:p>
    <w:p w14:paraId="627E10E0" w14:textId="6382087B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第六、行者意緣法時，即應諦觀未念法、欲念法、念法、念法已四運之心相皆不可得。雙照分明，廣說如上。復作是念：「如是意識，攀緣諸法，悉是虛誑，無有實事。所以者何？法如幻化，性無實故；心如陽炎，無暫停故；法無定性，不可緣故；心無住處，誰是能緣？若離能緣、所緣，更無別緣，豈知但以虛妄憶想強起分別是法，而生諸見一切煩惱生死業行相續不斷？」是故行者為破虛妄顛倒想及隨緣境時，即當反觀，反觀心、意、識根源，諦觀心時，不見住止及與生滅一切法相。若心無住處、生滅諸相，當知此心則不可得。尚不得心，況心數法。若無心數，一切諸法竟何所依？是故經言：「我心自空，罪福無主，一切法亦如是，無住無壞。」行者如是觀心意時，不得一切法。當知所攀緣法畢竟空寂，故淨名言：「知諸法如幻相，無自性，無他性，本自不然，今則無滅。」</w:t>
      </w:r>
    </w:p>
    <w:p w14:paraId="35E37B8D" w14:textId="0E8C52FE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如是之言，當何謂也？前破未念、欲念心正觀相應，以十二事中，</w:t>
      </w: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應當一一分別說。行者如是觀察時，亦當應識有三種心：一者、觀亂心；二者、觀定心；三者、觀於觀心。</w:t>
      </w:r>
    </w:p>
    <w:p w14:paraId="7307936E" w14:textId="38589ADD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云何名為觀於亂心？如上所說種種事中，行者初學，未了諸法，於是境界悉有亂起。一心諦觀，不見心相，則無有亂，其心安隱，行、住、坐、臥，身心寂泊，澹然不動，即是定心。</w:t>
      </w:r>
    </w:p>
    <w:p w14:paraId="04AFE08B" w14:textId="3A39D9CA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於是定心若不觀察，多生染著，如淨名菩薩言：「貪著禪味，是菩薩縛。」是故當觀定心不可得。尚無有心，定在何處？當知此定從顛倒生。如是觀時，不見於定及與非定，不生貪著，得脫定縛，故《淨名經》言：「以方便生，是菩薩解。」是名觀相觀於定心。</w:t>
      </w:r>
    </w:p>
    <w:p w14:paraId="195970AE" w14:textId="5864FB7D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觀定心已，行者既未悟於理，或計我能觀心，是故不見有定亂相，當知如是妙慧，最為殊勝，著是觀慧，即便自高，謂他不能解。如是念時，是名智障，同彼外道，故《釋論》說：「是諸外道愛著觀空智慧，不得解脫。」行者既知計有觀者是大障礙，不會泥洹，即當反觀能觀之心，不見住處，亦復無起滅，當知畢竟無有觀者及非觀者。既無觀者，誰觀諸法？不得觀心，即離觀想，故《釋論》云：「念想觀已除，戲論心皆滅，無量眾罪除，清淨心常一，如是尊妙人，則能見般若。」是名為觀於心性。故《大集經》亦言：「觀於心。」</w:t>
      </w:r>
    </w:p>
    <w:p w14:paraId="17448454" w14:textId="3510D3D6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心是三觀者，即三三昧也。所以者何？於初觀中能破一切種種有相，不見內外，即空三昧也。第二觀中能壞空相，是則名為無相三昧。第三觀中不見作者，此即名曰無作三昧。菩薩行是三昧時，則能破壞三倒、三毒、心、意、識相及三有流，亦能降伏四種魔怨。</w:t>
      </w:r>
    </w:p>
    <w:p w14:paraId="3A953813" w14:textId="619B8205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所以者何？夫煩惱者，悉是亂惑，如是觀空，能了煩惱性無動轉，即是菩提，故《諸法無行經》云：「貪欲即是道，恚癡亦如是，如是三法中，具一切佛法。」若煩惱是菩提，何得復以菩提而惱菩提？若知煩惱相空即是菩提，度煩惱魔，餘三魔亦如是。所以然者，如《思益經》云：「愚於陰界入，而欲求菩提，陰界入即是，離是無菩提。」當知觀空即度陰魔。如《思益經》又云：「生死是涅槃，無退沒生故。」當知觀空即度死魔。《首楞嚴經》云：「魔界如即是佛界如，魔界如、佛界如，一如無二如，是故不出魔界而得佛界。」當知觀空即度他化天子魔。</w:t>
      </w:r>
    </w:p>
    <w:p w14:paraId="328E11F1" w14:textId="70A1620B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菩薩行三空正觀，即時不復恐怖四魔，亦不得四魔而能度四魔，故《釋論》云：「除諸法實相，其餘一切皆名魔事。」若能善修實相，即無魔事。是故行者善觀此意，修行三昧，終無魔事。若離此觀，分別憶想，必定墮魔網中，故《釋論》云：「若分別憶想，即是魔羅網；不動不分別，是則名法印。」</w:t>
      </w:r>
    </w:p>
    <w:p w14:paraId="0F53218C" w14:textId="7A3B24C5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復次，行者能善修如上三觀，破一切法，心無所著，雖知眾生空相，而常念大悲，不捨一切眾生，學諸波羅蜜，起十力，觀察法界種種法門，長養一切諸善功德。</w:t>
      </w:r>
    </w:p>
    <w:p w14:paraId="033AA6EB" w14:textId="77777777" w:rsidR="006A0AA1" w:rsidRPr="006A0AA1" w:rsidRDefault="006A0AA1" w:rsidP="006A0AA1">
      <w:pPr>
        <w:pStyle w:val="2"/>
        <w:rPr>
          <w:rFonts w:hint="eastAsia"/>
          <w:lang w:eastAsia="zh-TW"/>
        </w:rPr>
      </w:pPr>
      <w:bookmarkStart w:id="7" w:name="_Toc45811387"/>
      <w:r w:rsidRPr="006A0AA1">
        <w:rPr>
          <w:rFonts w:hint="eastAsia"/>
          <w:lang w:eastAsia="zh-TW"/>
        </w:rPr>
        <w:t>釋覺意三昧證相門第六</w:t>
      </w:r>
      <w:bookmarkEnd w:id="7"/>
    </w:p>
    <w:p w14:paraId="7C223B8A" w14:textId="49FEA59B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行者如是行時，必定當入外凡位中，因是位故，得入內凡初發心住。云何名為外凡位？外凡者，是鐵輪菩薩，具煩惱性，能知如來祕密之藏。亦名外凡十住。其名云何？一名信心；二、念心；三曰、精進</w:t>
      </w: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心；四、慧心；五、定心；六、不退心；七、迴向心；八、護心；九、戒心；十、願心。</w:t>
      </w:r>
    </w:p>
    <w:p w14:paraId="39795F65" w14:textId="492417E1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行者善修三種觀，觀於諸法，若心安住，念想心息時，或於入觀，或於住禪中，或出四威儀中，爾時自覺身心豁然空寂，如影不實，外視諸法，似如浮雲，亦如幻化。必當於此生方便慧解，及知諸法不生不滅，生死、涅槃無有二際。若聞十二部經，亦自開解。得此慧故，自知身中祕密之藏，一體三寶，與佛無異，亦能巧說三乘法要，言語無盡。雖未證真，相似慧力了了無礙，得此證故，名曰信也。</w:t>
      </w:r>
    </w:p>
    <w:p w14:paraId="004D7F4F" w14:textId="08B4F426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但初信心功德如是，況下九心而當可說。信因緣故，知法實相是第一義，萬行之本，眾靈之源。是故於一切時常念無生，破壞種種邪見妄執，成就正念，安心一相如如之理，無所取捨，故名念心成就。</w:t>
      </w:r>
    </w:p>
    <w:p w14:paraId="3819B678" w14:textId="21070E61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勤行三慧，進趣菩提，無有懈怠，名精進心。精進勤行聞思修故，因是獲得正智慧眼，覺一切法，其心轉明，能入實相，而無所著，故名慧心。智慧力故，破諸亂惑，安心理性，入深三昧，故名定心。禪定因緣，扶同正慧，即得堅固，亦能長養大慈善根，名不退心。</w:t>
      </w:r>
    </w:p>
    <w:p w14:paraId="4D79D8FC" w14:textId="26BF5809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心力勇進，能遍了諸法，悉入無生，是時有所作事並趣菩提，莊嚴萬行者普施眾生，名迴向心。妙善開敷，勤心長養，不令諸過得入，損於善根，故名護心。既能善遮內非，亦當嚴防外惡，為防惡故，修二種戒，謂性、重，息世譏嫌，微細不犯，故名戒心。</w:t>
      </w:r>
    </w:p>
    <w:p w14:paraId="712E85CA" w14:textId="15A11EF9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既能內防諸漏，外以戒自嚴，是時心無覆蓋，習理之慧踰成明顯。既解了無生，觀理之時，實不見眾生可度、煩惱可斷、法門可入、佛道</w:t>
      </w: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可成。菩薩爾時恐失大悲，墮二乘地，即作是念：「諸法空中當無眾生及與佛果，但世俗法中非無眾生乃至佛道，而一切眾生以不知空故，輪轉五道，其為可愍，我當為是虛妄眾生起大誓願，增菩提心。」作是願言：「願得無生忍時，知眾生空及與不空，乃至菩提佛道亦復如是。」以知空故，發大誓願而成就之。住是地中，能知空故，過凡夫地；知不空故，過聲聞地；若不住空，不住不空，名為中道。行於中道真正願故，名曰願心。</w:t>
      </w:r>
    </w:p>
    <w:p w14:paraId="20CF8833" w14:textId="612DF7CB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菩薩住是十心，名鐵輪位，名曰外凡。是人具煩惱，能知如來祕密之藏，得相似中道智慧，住自性禪，善修如是十種心故，心得開發，豁然意解，見如來藏，悟一切法，獲無生忍，爾時始得入發心住。住此位中，即入內凡，名銅輪位，亦名聞慧具足，亦名習種性，亦名伏忍，亦名十願，亦名發趣，亦名道慧，亦名不生生，亦名開佛知見。如是等異名無量。</w:t>
      </w:r>
    </w:p>
    <w:p w14:paraId="6E1BFB82" w14:textId="3B880F92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所以最初名發心住者，行人從初發心已來，雖有大慈、大悲、禪定、智慧無量功德，而未得實相般若，但是發心，不名為住。始於此位與理相應，故得住名。故《瓔珞經》云：「入理般若名為住。」又解言：發心住者，發謂開發，住名得安止處。是始得開發如來藏理，得無生安止之處。具此二義，亦名發心住。</w:t>
      </w:r>
    </w:p>
    <w:p w14:paraId="428C9F7D" w14:textId="6DCA324C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復次，菩薩住是位中，具一切禪及與難禪。所以者何？一切禪者，有三種：一、樂法樂住禪者，初位能斷一切三界煩惱，永盡無餘，故於諸法無愛著，所有禪定不生愛見，無為自在；二、出生三昧禪者，入初住位，能生無量十力種性諸三昧等；三、利益眾生禪者，入是位中，或</w:t>
      </w: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lastRenderedPageBreak/>
        <w:t>面見十方三世諸佛，具大總持，辯才無礙，以利眾生，或得六通，同事度脫。是名初住具於三種一切義禪。</w:t>
      </w:r>
    </w:p>
    <w:p w14:paraId="27CF6297" w14:textId="00F87AC9" w:rsidR="006A0AA1" w:rsidRPr="006A0AA1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 w:hint="eastAsia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得難禪時，亦有三種：一、入是位中，捨此身時，雖無生死結業，而能起法性生身，遍現二十五有種種諸身；二、入是位中，必定越過三乘所證一切法門；三、入是位時，於念念中所有功德，悉趣菩提，故《瓔珞經》云：「三賢菩薩自然流入妙覺大海。」是名初發心住中具足三種難禪。</w:t>
      </w:r>
    </w:p>
    <w:p w14:paraId="7B479935" w14:textId="578B1728" w:rsidR="006F1D5D" w:rsidRPr="008D03DF" w:rsidRDefault="006A0AA1" w:rsidP="006A0AA1">
      <w:pPr>
        <w:overflowPunct w:val="0"/>
        <w:autoSpaceDE w:val="0"/>
        <w:autoSpaceDN w:val="0"/>
        <w:snapToGrid w:val="0"/>
        <w:spacing w:beforeLines="50" w:before="156" w:afterLines="50" w:after="156" w:line="540" w:lineRule="exact"/>
        <w:ind w:firstLineChars="200" w:firstLine="600"/>
        <w:rPr>
          <w:rFonts w:ascii="宋体" w:eastAsia="方正新书宋_GBK" w:hAnsi="宋体"/>
          <w:sz w:val="30"/>
          <w:szCs w:val="30"/>
          <w:lang w:eastAsia="zh-TW"/>
        </w:rPr>
      </w:pPr>
      <w:r w:rsidRPr="006A0AA1">
        <w:rPr>
          <w:rFonts w:ascii="宋体" w:eastAsia="方正新书宋_GBK" w:hAnsi="宋体" w:hint="eastAsia"/>
          <w:sz w:val="30"/>
          <w:szCs w:val="30"/>
          <w:lang w:eastAsia="zh-TW"/>
        </w:rPr>
        <w:t>菩薩具足自性禪、一切義禪者，是真初住入理賢人，名處在聖胎，得無生忍，亦復悉知上地法門，於一心中具足萬行，無量功德不可窮盡。其餘九住及十行、十金剛、十地、等覺、妙覺是諸佛境界，是菩薩所知，豈是凡識之所能量？是則略說修行覺意三昧最初境界。是中行者當善取其意，勤而行之。</w:t>
      </w:r>
    </w:p>
    <w:sectPr w:rsidR="006F1D5D" w:rsidRPr="008D03DF" w:rsidSect="00E9159A">
      <w:footerReference w:type="default" r:id="rId9"/>
      <w:pgSz w:w="11906" w:h="16838"/>
      <w:pgMar w:top="2155" w:right="1134" w:bottom="2155" w:left="1134" w:header="851" w:footer="992" w:gutter="284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C9FBDB" w14:textId="77777777" w:rsidR="00180A81" w:rsidRDefault="00180A81" w:rsidP="00180A81">
      <w:r>
        <w:separator/>
      </w:r>
    </w:p>
  </w:endnote>
  <w:endnote w:type="continuationSeparator" w:id="0">
    <w:p w14:paraId="273652FE" w14:textId="77777777" w:rsidR="00180A81" w:rsidRDefault="00180A81" w:rsidP="00180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Arial"/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91DF6B9-93BE-4A8E-AE3A-054B2CD600C0}"/>
    <w:embedBold r:id="rId2" w:fontKey="{A2F31A63-2CA3-4FD4-9662-B348B9E3C8CE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03F091B6-3D47-46CB-A8FB-D91C78A0B197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C7C09B17-FCC9-47D5-A819-6F17CBF23B2E}"/>
    <w:embedBold r:id="rId5" w:subsetted="1" w:fontKey="{54F4A4F8-6558-4FAC-919E-C78CA48B7634}"/>
  </w:font>
  <w:font w:name="Cambria">
    <w:charset w:val="00"/>
    <w:family w:val="roman"/>
    <w:pitch w:val="variable"/>
    <w:sig w:usb0="E00006FF" w:usb1="420024FF" w:usb2="02000000" w:usb3="00000000" w:csb0="0000019F" w:csb1="00000000"/>
    <w:embedRegular r:id="rId6" w:fontKey="{9AFD1640-955D-4DD0-B44E-3C7D05AEC026}"/>
    <w:embedBold r:id="rId7" w:fontKey="{7002AB64-4DAF-44FB-A942-556FEF09DA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6A42064A-8ED6-4A91-8D83-6129209C5908}"/>
    <w:embedBold r:id="rId9" w:fontKey="{335E16A6-91D4-4A1B-B856-93E65014F5D0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0" w:subsetted="1" w:fontKey="{36F1D8CC-F5EE-4A2A-A6BD-66F007022A7B}"/>
  </w:font>
  <w:font w:name="方正新书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11" w:subsetted="1" w:fontKey="{740432DD-163B-4232-BAF7-2FEA6D78BEB4}"/>
    <w:embedBold r:id="rId12" w:subsetted="1" w:fontKey="{232F5A02-2D52-43DB-82F8-EBE0D0E16972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13" w:subsetted="1" w:fontKey="{66DB1AA5-CC93-45D4-8169-AAFB16E969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30359476"/>
      <w:docPartObj>
        <w:docPartGallery w:val="Page Numbers (Bottom of Page)"/>
        <w:docPartUnique/>
      </w:docPartObj>
    </w:sdtPr>
    <w:sdtEndPr>
      <w:rPr>
        <w:rFonts w:eastAsia="方正新书宋_GBK"/>
      </w:rPr>
    </w:sdtEndPr>
    <w:sdtContent>
      <w:p w14:paraId="1B4087F2" w14:textId="77777777" w:rsidR="00180A81" w:rsidRPr="008D03DF" w:rsidRDefault="00180A81">
        <w:pPr>
          <w:pStyle w:val="a5"/>
          <w:jc w:val="center"/>
          <w:rPr>
            <w:rFonts w:eastAsia="方正新书宋_GBK"/>
          </w:rPr>
        </w:pPr>
        <w:r w:rsidRPr="008D03DF">
          <w:rPr>
            <w:rFonts w:eastAsia="方正新书宋_GBK"/>
          </w:rPr>
          <w:fldChar w:fldCharType="begin"/>
        </w:r>
        <w:r w:rsidRPr="008D03DF">
          <w:rPr>
            <w:rFonts w:eastAsia="方正新书宋_GBK"/>
          </w:rPr>
          <w:instrText>PAGE   \* MERGEFORMAT</w:instrText>
        </w:r>
        <w:r w:rsidRPr="008D03DF">
          <w:rPr>
            <w:rFonts w:eastAsia="方正新书宋_GBK"/>
          </w:rPr>
          <w:fldChar w:fldCharType="separate"/>
        </w:r>
        <w:r w:rsidRPr="008D03DF">
          <w:rPr>
            <w:rFonts w:eastAsia="方正新书宋_GBK"/>
            <w:lang w:val="zh-CN"/>
          </w:rPr>
          <w:t>2</w:t>
        </w:r>
        <w:r w:rsidRPr="008D03DF">
          <w:rPr>
            <w:rFonts w:eastAsia="方正新书宋_GBK"/>
          </w:rPr>
          <w:fldChar w:fldCharType="end"/>
        </w:r>
      </w:p>
    </w:sdtContent>
  </w:sdt>
  <w:p w14:paraId="15AC1068" w14:textId="77777777" w:rsidR="00180A81" w:rsidRPr="008D03DF" w:rsidRDefault="00180A81">
    <w:pPr>
      <w:pStyle w:val="a5"/>
      <w:rPr>
        <w:rFonts w:eastAsia="方正新书宋_GB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AE07C8" w14:textId="77777777" w:rsidR="00180A81" w:rsidRDefault="00180A81" w:rsidP="00180A81">
      <w:r>
        <w:separator/>
      </w:r>
    </w:p>
  </w:footnote>
  <w:footnote w:type="continuationSeparator" w:id="0">
    <w:p w14:paraId="77249444" w14:textId="77777777" w:rsidR="00180A81" w:rsidRDefault="00180A81" w:rsidP="00180A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F36AD7"/>
    <w:multiLevelType w:val="hybridMultilevel"/>
    <w:tmpl w:val="72A460A2"/>
    <w:lvl w:ilvl="0" w:tplc="0409000F">
      <w:start w:val="1"/>
      <w:numFmt w:val="decimal"/>
      <w:lvlText w:val="%1."/>
      <w:lvlJc w:val="left"/>
      <w:pPr>
        <w:ind w:left="1020" w:hanging="420"/>
      </w:p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embedSystemFonts/>
  <w:mirrorMargin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1D5D"/>
    <w:rsid w:val="00054C82"/>
    <w:rsid w:val="000B62CF"/>
    <w:rsid w:val="0014521B"/>
    <w:rsid w:val="00180A81"/>
    <w:rsid w:val="004216A6"/>
    <w:rsid w:val="004963AB"/>
    <w:rsid w:val="00596DF5"/>
    <w:rsid w:val="00596E93"/>
    <w:rsid w:val="006404F0"/>
    <w:rsid w:val="006A0AA1"/>
    <w:rsid w:val="006E10DC"/>
    <w:rsid w:val="006F1D5D"/>
    <w:rsid w:val="00723288"/>
    <w:rsid w:val="0075328A"/>
    <w:rsid w:val="008D03DF"/>
    <w:rsid w:val="00AE0471"/>
    <w:rsid w:val="00B84367"/>
    <w:rsid w:val="00BB35F9"/>
    <w:rsid w:val="00CB1B55"/>
    <w:rsid w:val="00DA21FA"/>
    <w:rsid w:val="00E368BE"/>
    <w:rsid w:val="00E91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."/>
  <w:listSeparator w:val=","/>
  <w14:docId w14:val="6DDC8182"/>
  <w15:docId w15:val="{A18A4851-4B42-4C24-973B-2DAE0FDB1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6E10DC"/>
    <w:pPr>
      <w:keepNext/>
      <w:keepLines/>
      <w:spacing w:before="340" w:after="330" w:line="578" w:lineRule="auto"/>
      <w:jc w:val="center"/>
      <w:outlineLvl w:val="0"/>
    </w:pPr>
    <w:rPr>
      <w:rFonts w:eastAsia="楷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6A0AA1"/>
    <w:pPr>
      <w:keepNext/>
      <w:keepLines/>
      <w:spacing w:before="480" w:after="240" w:line="360" w:lineRule="auto"/>
      <w:outlineLvl w:val="1"/>
    </w:pPr>
    <w:rPr>
      <w:rFonts w:asciiTheme="majorHAnsi" w:eastAsia="楷体" w:hAnsiTheme="majorHAnsi" w:cstheme="majorBidi"/>
      <w:b/>
      <w:bCs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0A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80A81"/>
    <w:rPr>
      <w:kern w:val="2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80A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80A81"/>
    <w:rPr>
      <w:kern w:val="2"/>
      <w:sz w:val="18"/>
      <w:szCs w:val="18"/>
    </w:rPr>
  </w:style>
  <w:style w:type="paragraph" w:styleId="a7">
    <w:name w:val="List Paragraph"/>
    <w:basedOn w:val="a"/>
    <w:uiPriority w:val="34"/>
    <w:qFormat/>
    <w:rsid w:val="00CB1B55"/>
    <w:pPr>
      <w:widowControl/>
      <w:spacing w:beforeLines="50" w:before="50" w:afterLines="50" w:after="50" w:line="540" w:lineRule="exact"/>
      <w:ind w:firstLineChars="200" w:firstLine="420"/>
    </w:pPr>
    <w:rPr>
      <w:rFonts w:asciiTheme="minorHAnsi" w:eastAsiaTheme="minorEastAsia" w:hAnsiTheme="minorHAnsi" w:cstheme="minorBidi"/>
    </w:rPr>
  </w:style>
  <w:style w:type="character" w:customStyle="1" w:styleId="10">
    <w:name w:val="标题 1 字符"/>
    <w:basedOn w:val="a0"/>
    <w:link w:val="1"/>
    <w:uiPriority w:val="9"/>
    <w:rsid w:val="006E10DC"/>
    <w:rPr>
      <w:rFonts w:eastAsia="楷体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6E10DC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6E10DC"/>
    <w:pPr>
      <w:tabs>
        <w:tab w:val="right" w:leader="dot" w:pos="9344"/>
      </w:tabs>
    </w:pPr>
    <w:rPr>
      <w:rFonts w:ascii="仿宋" w:eastAsia="仿宋" w:hAnsi="仿宋"/>
      <w:noProof/>
      <w:sz w:val="30"/>
      <w:szCs w:val="30"/>
      <w:lang w:eastAsia="zh-TW"/>
    </w:rPr>
  </w:style>
  <w:style w:type="character" w:styleId="a8">
    <w:name w:val="Hyperlink"/>
    <w:basedOn w:val="a0"/>
    <w:uiPriority w:val="99"/>
    <w:unhideWhenUsed/>
    <w:rsid w:val="006E10DC"/>
    <w:rPr>
      <w:color w:val="0000FF" w:themeColor="hyperlink"/>
      <w:u w:val="single"/>
    </w:rPr>
  </w:style>
  <w:style w:type="character" w:customStyle="1" w:styleId="20">
    <w:name w:val="标题 2 字符"/>
    <w:basedOn w:val="a0"/>
    <w:link w:val="2"/>
    <w:uiPriority w:val="9"/>
    <w:rsid w:val="006A0AA1"/>
    <w:rPr>
      <w:rFonts w:asciiTheme="majorHAnsi" w:eastAsia="楷体" w:hAnsiTheme="majorHAnsi" w:cstheme="majorBidi"/>
      <w:b/>
      <w:bCs/>
      <w:kern w:val="2"/>
      <w:sz w:val="36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723288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EF8B171-298F-4747-BF7D-AF7A9F80D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29</Pages>
  <Words>2094</Words>
  <Characters>11941</Characters>
  <Application>Microsoft Office Word</Application>
  <DocSecurity>0</DocSecurity>
  <Lines>99</Lines>
  <Paragraphs>28</Paragraphs>
  <ScaleCrop>false</ScaleCrop>
  <Company/>
  <LinksUpToDate>false</LinksUpToDate>
  <CharactersWithSpaces>14007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21</cp:revision>
  <cp:lastPrinted>2020-07-16T09:03:00Z</cp:lastPrinted>
  <dcterms:created xsi:type="dcterms:W3CDTF">2019-02-19T20:36:00Z</dcterms:created>
  <dcterms:modified xsi:type="dcterms:W3CDTF">2020-07-16T09:04:00Z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  <property fmtid="{D5CDD505-2E9C-101B-9397-08002B2CF9AE}" pid="3" name="KSORubyTemplateID" linkTarget="0">
    <vt:lpwstr>6</vt:lpwstr>
  </property>
</Properties>
</file>