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94591" w14:textId="3F579FB0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BE0B6A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201CB6" w:rsidRPr="00BE0B6A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BE0B6A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BE0B6A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021E7A0F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663D55A2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5A0B0CEE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74FBF893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2CA303C1" w14:textId="77777777" w:rsidR="00431C36" w:rsidRPr="00BE0B6A" w:rsidRDefault="00431C36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FC1870F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E67068C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2172DB67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4E57B288" w14:textId="77777777" w:rsidR="00976C74" w:rsidRPr="00BE0B6A" w:rsidRDefault="00976C74" w:rsidP="00431C36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1568DEC4" w14:textId="1944A02A" w:rsidR="00976C74" w:rsidRPr="004A4539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center"/>
        <w:rPr>
          <w:rFonts w:ascii="楷体" w:eastAsia="楷体" w:hAnsi="楷体"/>
          <w:b/>
          <w:sz w:val="84"/>
          <w:szCs w:val="84"/>
          <w:lang w:eastAsia="zh-TW"/>
        </w:rPr>
      </w:pPr>
      <w:r w:rsidRPr="00976C74">
        <w:rPr>
          <w:rFonts w:ascii="楷体" w:eastAsia="楷体" w:hAnsi="楷体" w:hint="eastAsia"/>
          <w:b/>
          <w:sz w:val="84"/>
          <w:szCs w:val="84"/>
          <w:lang w:eastAsia="zh-TW"/>
        </w:rPr>
        <w:t>淨土境觀要門</w:t>
      </w:r>
    </w:p>
    <w:p w14:paraId="7336CEC8" w14:textId="77777777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center"/>
        <w:rPr>
          <w:rFonts w:ascii="宋体" w:eastAsia="方正新书宋_GBK" w:hAnsi="宋体"/>
          <w:sz w:val="28"/>
          <w:szCs w:val="28"/>
          <w:lang w:eastAsia="zh-TW"/>
        </w:rPr>
      </w:pPr>
    </w:p>
    <w:p w14:paraId="18A7B6BC" w14:textId="3E222856" w:rsidR="00976C74" w:rsidRPr="004A4539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976C74">
        <w:rPr>
          <w:rFonts w:ascii="楷体" w:eastAsia="楷体" w:hAnsi="楷体" w:hint="eastAsia"/>
          <w:sz w:val="30"/>
          <w:szCs w:val="30"/>
          <w:lang w:eastAsia="zh-TW"/>
        </w:rPr>
        <w:t>元傳天台宗教興教大師虎谿沙門　懷則述</w:t>
      </w:r>
    </w:p>
    <w:p w14:paraId="751A094F" w14:textId="77777777" w:rsidR="00976C74" w:rsidRPr="00BE0B6A" w:rsidRDefault="00976C74" w:rsidP="00976C74">
      <w:pPr>
        <w:widowControl w:val="0"/>
        <w:overflowPunct w:val="0"/>
        <w:autoSpaceDE w:val="0"/>
        <w:autoSpaceDN w:val="0"/>
        <w:spacing w:before="156" w:after="156"/>
        <w:ind w:firstLine="560"/>
        <w:rPr>
          <w:rFonts w:ascii="宋体" w:eastAsia="方正新书宋_GBK" w:hAnsi="宋体"/>
          <w:sz w:val="28"/>
          <w:szCs w:val="28"/>
          <w:lang w:eastAsia="zh-TW"/>
        </w:rPr>
      </w:pPr>
      <w:r w:rsidRPr="00BE0B6A">
        <w:rPr>
          <w:rFonts w:ascii="宋体" w:eastAsia="方正新书宋_GBK" w:hAnsi="宋体"/>
          <w:sz w:val="28"/>
          <w:szCs w:val="28"/>
          <w:lang w:eastAsia="zh-TW"/>
        </w:rPr>
        <w:br w:type="page"/>
      </w:r>
    </w:p>
    <w:p w14:paraId="02E412B0" w14:textId="77777777" w:rsidR="00976C74" w:rsidRPr="00972EA7" w:rsidRDefault="00976C74" w:rsidP="00976C74">
      <w:pPr>
        <w:overflowPunct w:val="0"/>
        <w:autoSpaceDE w:val="0"/>
        <w:autoSpaceDN w:val="0"/>
        <w:adjustRightInd w:val="0"/>
        <w:snapToGrid w:val="0"/>
        <w:spacing w:before="156" w:after="156"/>
        <w:ind w:firstLine="420"/>
        <w:rPr>
          <w:rFonts w:ascii="宋体" w:hAnsi="宋体"/>
          <w:szCs w:val="30"/>
          <w:lang w:eastAsia="zh-TW"/>
        </w:rPr>
      </w:pPr>
    </w:p>
    <w:p w14:paraId="02ADAE80" w14:textId="77777777" w:rsidR="00976C74" w:rsidRDefault="00976C74" w:rsidP="00976C74">
      <w:pPr>
        <w:overflowPunct w:val="0"/>
        <w:autoSpaceDE w:val="0"/>
        <w:autoSpaceDN w:val="0"/>
        <w:adjustRightInd w:val="0"/>
        <w:snapToGrid w:val="0"/>
        <w:spacing w:before="156" w:after="156"/>
        <w:ind w:firstLine="420"/>
        <w:rPr>
          <w:rFonts w:ascii="宋体" w:hAnsi="宋体"/>
          <w:szCs w:val="30"/>
          <w:lang w:eastAsia="zh-TW"/>
        </w:rPr>
      </w:pPr>
    </w:p>
    <w:p w14:paraId="5C0C1FB2" w14:textId="77777777" w:rsidR="00976C74" w:rsidRPr="00BE0B6A" w:rsidRDefault="00976C74" w:rsidP="00976C74">
      <w:pPr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798C6A66" w14:textId="77777777" w:rsidR="00201CB6" w:rsidRPr="00BE0B6A" w:rsidRDefault="00201CB6" w:rsidP="00201CB6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5828CD2B" w14:textId="77777777" w:rsidR="00976C74" w:rsidRPr="00BE0B6A" w:rsidRDefault="00976C74" w:rsidP="00976C74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檔容易隨設備不同，而導致頁碼可能會有錯亂。而裝釘邊距使用了奇偶頁設置，宜雙面打印，單面打印的話會出現內文左右移動。打印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053D732" w14:textId="77777777" w:rsidR="00976C74" w:rsidRPr="00BE0B6A" w:rsidRDefault="00976C74" w:rsidP="00976C74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“切白邊版”</w:t>
      </w:r>
      <w:r w:rsidRPr="004831A3">
        <w:rPr>
          <w:rFonts w:hint="eastAsia"/>
          <w:lang w:eastAsia="zh-TW"/>
        </w:rPr>
        <w:t xml:space="preserve"> 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，以使內文顯示最大化。若無“切白邊版”，可以自行使用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1B735436" w14:textId="77777777" w:rsidR="00976C74" w:rsidRPr="00BE0B6A" w:rsidRDefault="00976C74" w:rsidP="00976C74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32725430" w14:textId="77777777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afterAutospacing="1"/>
        <w:ind w:firstLine="560"/>
        <w:rPr>
          <w:rFonts w:ascii="宋体" w:eastAsia="方正新书宋_GBK" w:hAnsi="宋体"/>
          <w:sz w:val="28"/>
          <w:szCs w:val="28"/>
          <w:lang w:eastAsia="zh-TW"/>
        </w:rPr>
      </w:pPr>
    </w:p>
    <w:p w14:paraId="67149498" w14:textId="77777777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afterAutospacing="1"/>
        <w:ind w:firstLine="560"/>
        <w:rPr>
          <w:rFonts w:ascii="宋体" w:eastAsia="方正新书宋_GBK" w:hAnsi="宋体"/>
          <w:sz w:val="28"/>
          <w:szCs w:val="28"/>
          <w:lang w:eastAsia="zh-TW"/>
        </w:rPr>
      </w:pPr>
    </w:p>
    <w:p w14:paraId="1B957F49" w14:textId="77777777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afterAutospacing="1"/>
        <w:ind w:firstLine="560"/>
        <w:rPr>
          <w:rFonts w:ascii="宋体" w:eastAsia="方正新书宋_GBK" w:hAnsi="宋体"/>
          <w:sz w:val="28"/>
          <w:szCs w:val="28"/>
          <w:lang w:eastAsia="zh-TW"/>
        </w:rPr>
        <w:sectPr w:rsidR="00976C74" w:rsidRPr="00BE0B6A" w:rsidSect="004A453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155" w:right="1134" w:bottom="2155" w:left="1134" w:header="851" w:footer="992" w:gutter="284"/>
          <w:cols w:space="425"/>
          <w:titlePg/>
          <w:docGrid w:type="lines" w:linePitch="312"/>
        </w:sectPr>
      </w:pPr>
    </w:p>
    <w:p w14:paraId="54D5B351" w14:textId="4626D186" w:rsidR="00976C74" w:rsidRPr="00BE0B6A" w:rsidRDefault="00976C74" w:rsidP="00BE0B6A">
      <w:pPr>
        <w:spacing w:before="156" w:after="156"/>
        <w:ind w:firstLineChars="0" w:firstLine="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lastRenderedPageBreak/>
        <w:t>一、名稱</w:t>
      </w:r>
    </w:p>
    <w:p w14:paraId="254D0371" w14:textId="105E9738" w:rsidR="00976C74" w:rsidRPr="00BE0B6A" w:rsidRDefault="00976C74" w:rsidP="00976C74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《淨土境觀要門》，係就觀阿彌陀佛之觀法而加以探討論述所觀之境與能觀之心，作為信樂淨土者入道之門，故名。</w:t>
      </w:r>
    </w:p>
    <w:p w14:paraId="1689D7CD" w14:textId="77777777" w:rsidR="00976C74" w:rsidRPr="00BE0B6A" w:rsidRDefault="00976C74" w:rsidP="00BE0B6A">
      <w:pPr>
        <w:spacing w:before="156" w:after="156"/>
        <w:ind w:firstLineChars="0" w:firstLine="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t>二、作者</w:t>
      </w:r>
    </w:p>
    <w:p w14:paraId="41288D78" w14:textId="17DBF718" w:rsidR="00976C74" w:rsidRPr="00BE0B6A" w:rsidRDefault="00976C74" w:rsidP="00976C74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懷則法師，元代天台宗僧。為海翁時學之門人，為南屏派八代之的裔，四明知禮法師九世之玄孫。居廬山虎溪畔，號興教大師虎溪沙門。嘗撰《淨土境觀要門》、《天台傳佛心印記》各一卷。其氏族、生卒年、事蹟等未詳。</w:t>
      </w:r>
    </w:p>
    <w:p w14:paraId="5282E527" w14:textId="77777777" w:rsidR="00976C74" w:rsidRPr="00BE0B6A" w:rsidRDefault="00976C74" w:rsidP="00BE0B6A">
      <w:pPr>
        <w:spacing w:before="156" w:after="156"/>
        <w:ind w:firstLineChars="0" w:firstLine="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t>三、內容</w:t>
      </w:r>
    </w:p>
    <w:p w14:paraId="029DF7FE" w14:textId="41DA0C04" w:rsidR="00976C74" w:rsidRPr="00BE0B6A" w:rsidRDefault="00976C74" w:rsidP="00976C74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《淨土境觀要門》，全一卷。元武宗至大三年（西元一三一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○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年）天台宗僧懷則述。主要是闡釋宋代天台宗僧四明知禮之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約心觀佛義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。天台智顗大師判《觀無量壽經》中所說之西方阿彌陀佛乃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心觀為宗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，宋代知禮法師之門下對此產生爭議，淨覺仁岳法師主張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攝佛歸心論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，廣智尚賢法師則主張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攝心歸佛論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。知禮法師認為此二說均未盡天台觀法，乃主張內觀之觀心與外觀之觀佛為畢竟不二，而倡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約心觀佛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之旨。本書即是就此異論而加以探討敘述。</w:t>
      </w:r>
    </w:p>
    <w:p w14:paraId="013F7131" w14:textId="77777777" w:rsidR="00976C74" w:rsidRPr="00BE0B6A" w:rsidRDefault="00976C74" w:rsidP="00BE0B6A">
      <w:pPr>
        <w:spacing w:before="156" w:after="156"/>
        <w:ind w:firstLineChars="0" w:firstLine="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t>四、現存</w:t>
      </w:r>
    </w:p>
    <w:p w14:paraId="4AD63260" w14:textId="4803C92B" w:rsidR="00976C74" w:rsidRPr="00BE0B6A" w:rsidRDefault="00976C74" w:rsidP="00976C74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本書今收錄於明版《嘉興大藏經》第四冊、清版《乾隆大藏經》第一四三冊、日版《卍正藏經》第六十四冊、《大正新修大藏經》第四十七冊以及《淨土叢書》第九冊。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18272C26" w14:textId="5A6E0C2E" w:rsidR="00976C74" w:rsidRPr="00976C74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b/>
          <w:sz w:val="44"/>
          <w:szCs w:val="44"/>
          <w:lang w:eastAsia="zh-TW"/>
        </w:rPr>
      </w:pPr>
      <w:r w:rsidRPr="00976C74">
        <w:rPr>
          <w:rFonts w:ascii="楷体" w:eastAsia="楷体" w:hAnsi="楷体" w:hint="eastAsia"/>
          <w:b/>
          <w:sz w:val="44"/>
          <w:szCs w:val="44"/>
          <w:lang w:eastAsia="zh-TW"/>
        </w:rPr>
        <w:lastRenderedPageBreak/>
        <w:t>淨土境觀要門</w:t>
      </w:r>
    </w:p>
    <w:p w14:paraId="31D55E22" w14:textId="77777777" w:rsidR="00976C74" w:rsidRPr="00976C74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976C74">
        <w:rPr>
          <w:rFonts w:ascii="楷体" w:eastAsia="楷体" w:hAnsi="楷体" w:hint="eastAsia"/>
          <w:sz w:val="24"/>
          <w:szCs w:val="24"/>
          <w:lang w:eastAsia="zh-TW"/>
        </w:rPr>
        <w:t>元傳天台宗教興教大師虎谿沙門　懷則述</w:t>
      </w:r>
    </w:p>
    <w:p w14:paraId="61891E42" w14:textId="77777777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C0EBC1B" w14:textId="77777777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夫淨土法門者，乃末世機緣出生死之要路，橫截五道之舟航。一生彼處，永無退轉，以諸天身飛行自在，衣食自然，得預清淨海眾，常得見佛聞法，速入聖位。無虎狼、師子、蚊虻、蚤蝨有情之惱，無寒熱風雨無情之所煎熬，蓮華化生，壽命無量。既無生老病死等苦，但受諸樂，故名極樂世界。故我釋迦如來欲令此土在迷眾生出離眾苦，開折伏之門，彌陀慈父示攝受之路，所以苦口叮嚀，殷勤告誡，偏讚淨土，普勸往生，良由於此。</w:t>
      </w:r>
    </w:p>
    <w:p w14:paraId="2C531759" w14:textId="7BE7F43D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是故西天此土聖賢道俗，迴向發願臨終見佛得往生者，具載典記，不可勝數。但下劣凡夫貪著麤弊色聲，甘心流浪生死，不求出離。譬如入城勾當，若不預辦安歇之處，至乎日暮，無所棲泊，深可痛傷悲悼也。</w:t>
      </w:r>
    </w:p>
    <w:p w14:paraId="251CE697" w14:textId="6148BADD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然而諸上善人厭苦求樂，發心念佛者多，知於境觀者少，因引筆略書大概，庶使信樂之人因此以得入道之門，不致徒勞苦行也。</w:t>
      </w:r>
    </w:p>
    <w:p w14:paraId="60C6ECAB" w14:textId="2471A61B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《觀無量壽佛經》云：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若欲志心生西方者，先當觀於一丈六像在池水上。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如先所說身量無邊，非是凡夫心力所及，是則八萬相好乃是十信位人方得見之，非是凡夫初心所觀境界，是故令觀丈六之身。身有三十二相，不可徧觀，須是從一相好入，但觀眉間白毫，三十二相自然當現。觀若純熟，不妨改觀，觀餘身相，無不可也。</w:t>
      </w:r>
    </w:p>
    <w:p w14:paraId="4A7256B4" w14:textId="23F7DA49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lastRenderedPageBreak/>
        <w:t>若觀此相，極須明了。其相在兩眉中間，白如珂雪，長一丈五尺，周圍五寸，外有八稜，內則虛通，右旋宛轉，顯映金顏，分齊分明，瑩淨明徹，不可云喻。欲觀此相，應須先了萬法唯心，一切唯識。故經云：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心包太虛，量周沙界。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心如工畫師，造種種五陰，一切世間中，莫不從心造。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是則極樂依報國土寶樹、寶地、寶池，彌陀海眾正報之身三十二相等，皆是我心本具，皆是我心造作，不從他得，不向外來。能了此者，方可論於即心觀佛，所以得云：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唯心淨土，本性彌陀。</w:t>
      </w:r>
      <w:r w:rsidRPr="00BE0B6A">
        <w:rPr>
          <w:rFonts w:ascii="宋体" w:eastAsia="方正新书宋_GBK" w:hAnsi="宋体"/>
          <w:sz w:val="30"/>
          <w:szCs w:val="30"/>
        </w:rPr>
        <w:t>”</w:t>
      </w:r>
    </w:p>
    <w:p w14:paraId="6A144B3D" w14:textId="22BB4271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故《觀經》云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諸佛如來是法界身，入一切眾生心想中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，至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八十隨形好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諸句，天台大師作二義釋之：一、約感應道交釋；二、約解入相應釋。若無初釋，則觀非觀佛；若無次釋，則心外有佛。是則解入相應者，即心也；感應道交者，觀佛也。至釋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是心作佛，是心是佛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，從修觀邊說，名為心作；從本具邊說，名為心是。文出第八像觀，義徧初後。</w:t>
      </w:r>
    </w:p>
    <w:p w14:paraId="27976204" w14:textId="1DBA5854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夫如是例此合云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是心作日，是心是日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，乃至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是心作勢至，是心是勢至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，以至九品之中，隨境作觀，莫不咸然。然而即心觀佛，亦名約心觀佛者，約心就託佛邊說，即心就本具邊論，由具故即也。各舉一義，意必雙含也。</w:t>
      </w:r>
    </w:p>
    <w:p w14:paraId="7597FAC8" w14:textId="4C103C23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此之境觀，說者雖多，未見的當，今當先引舊說評之，而後正出其意。淨覺法師謂：攝佛歸心，然後用觀，名為觀佛。今謂送想西方，境在東土，境觀既差，何由生彼？亦濫直觀於心也。廣智法師謂：攝心歸佛，名為觀佛。此乃直觀於佛，祖師何名心觀為宗耶？若據二師所見，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lastRenderedPageBreak/>
        <w:t>必須先了萬法唯心，方可觀心；先了萬法唯佛，方可觀佛。此同常坐等直觀三道，是為直觀心，直觀佛也。</w:t>
      </w:r>
    </w:p>
    <w:p w14:paraId="680C30D7" w14:textId="10DB5B8C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二師執諍不已，遂求決於四明祖師。祖師雙收二家云：也不是攝佛歸心，也不是攝心歸佛，乃是約心觀佛。何者？彌陀淨土既是我心本具，是故託彼果佛三十二相，熏我自心本具法身性體。觀智若成，自然發現，故《妙宗》云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託彼依正，熏乎心性，心性易發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，即此義也。</w:t>
      </w:r>
    </w:p>
    <w:p w14:paraId="36BA93DA" w14:textId="1A837F6C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問：約心觀佛，唯是所觀，境亦含能觀觀耶？</w:t>
      </w:r>
    </w:p>
    <w:p w14:paraId="2EC6F3AE" w14:textId="0800F006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答：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觀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之一字，是能觀觀；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心佛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二字，是所觀境。</w:t>
      </w:r>
    </w:p>
    <w:p w14:paraId="217F19C1" w14:textId="680B2811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若爾，此所觀境是妄耶？是真耶？</w:t>
      </w:r>
    </w:p>
    <w:p w14:paraId="240BB5CA" w14:textId="0F0D0D1D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答：一家所論境觀，永異諸說，直觀真心真佛，唯屬佛界，是故凡曰觀心觀佛，皆屬妄境，意在了妄即真，不須破妄，然後顯真。諸家直觀真者，妄必須破，真理方顯。此乃緣理斷九之義，正是破九界修惡，顯佛界性善，是斷滅法，乃屬偏前別教，非是圓頓妙觀。</w:t>
      </w:r>
    </w:p>
    <w:p w14:paraId="7049D475" w14:textId="02BCCB75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問：既曰約心觀佛，佛是果人，何得是妄？若是妄者，彌陀世尊應是凡夫耶？</w:t>
      </w:r>
    </w:p>
    <w:p w14:paraId="5B6870AF" w14:textId="1FD60AA4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答：初心行者外境未忘以來，見有他佛，無非是妄，亦是外陰入也，則知過在於我，何關佛耶？</w:t>
      </w:r>
    </w:p>
    <w:p w14:paraId="33FBD4C0" w14:textId="472844D8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問：凡所觀境，不出內外，心則屬內，佛則屬外。今云約心觀佛，莫也內外俱觀。若爾，必須仰面觀佛，低頭照心，如足跨門限，如首鼠兩端，畢竟如何用心？</w:t>
      </w:r>
    </w:p>
    <w:p w14:paraId="5F1DA131" w14:textId="7EE37519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lastRenderedPageBreak/>
        <w:t>答：此尤難得的當，今略舉一家之非，而後出其正義。初義者，先輩乃云定境屬外，觀屬唯心，須知此說有二失：一者、正墮內外俱觀之失；二者、觀屬唯心，有濫真心之失。以由初心行者須約妄心而觀彌陀應身，顯真佛體，方免斯過。祖師雖有唯心觀立之言，正是唯於妄心所造之境，用三觀體之，觀若成時，真佛方顯也。故知此說失之甚矣。</w:t>
      </w:r>
    </w:p>
    <w:p w14:paraId="0EBDADAB" w14:textId="77102D40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次、出正義者，須知我心不局方所，如前所引經文是也。故荊溪云：唯心之言，豈唯真心？須知煩惱心徧，子尚不知煩惱心徧，安能了知生死色徧？色何以徧？色即心故。若爾，不須攝佛歸乎東土，五陰質內亦不須仰面觀佛，低頭照心，今斷之曰定境屬外，境便是心，不須攝佛歸心，方名約心觀佛。如此明之，非但深得佛意，亦乃迥出常情，況佛親口引喻云：如執明鏡，自見面像。鏡中之像在外，豈可攝歸我身方是我像耶？亦是引心向彼，作往生因。雖無方所，在迷成局。今以妙解，融此局心，而即於佛成三諦三觀，是則鏡喻觀法，執喻修觀，見像喻觀成，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即見本性佛也。觀未成時，像既在外，以譬於心，何須攝歸我身耶？此譬顯然，人自不達耳。</w:t>
      </w:r>
    </w:p>
    <w:p w14:paraId="597A5F0F" w14:textId="6EE5E423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問：約心觀佛，定為外境，乃屬於妄，其義顯然，無可疑者。用於三觀，體此妄境，成妙三諦，願示其相。</w:t>
      </w:r>
    </w:p>
    <w:p w14:paraId="469DB22B" w14:textId="4AA9BAE8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答：如觀白毫，一心一意，專想不移，了了分明，能了此境具足諸法，此相為從我身得？為從我心得？佛不從我身得，不從我心得，不從我身得佛心，不從我心得佛色。何者？若是心，佛無心；若是色，佛無色。不可以色、心求三菩提。所觀之境既空，能觀之觀亦寂，能所俱亡，不落情想，空雖不可得，隨念即見，如鏡照面，像現其中。</w:t>
      </w:r>
    </w:p>
    <w:p w14:paraId="2AC8EECB" w14:textId="2704CAB5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lastRenderedPageBreak/>
        <w:t>又如比丘觀骨，起種種光，此無持來者，亦無有此骨，皆意作耳，悉如幻化假。佛本不曾來，我亦無所至，心不自知心，心不自見心，心有想則癡，無想是泥洹，是法不可示，皆念想所為，設有念，亦無所有空耳。中三觀就能觀邊論，三諦就所顯邊說，諦觀不二，能所一如，故祖師云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三諦三觀三非三，三一一三無所寄，諦觀名別體復同，是故能所二非二。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斯之謂也。</w:t>
      </w:r>
    </w:p>
    <w:p w14:paraId="65649440" w14:textId="046E1279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問：一心三觀，三諦一境，不前不後，方是圓頓三昧。據上所論，似如次第，一心之義何在？</w:t>
      </w:r>
    </w:p>
    <w:p w14:paraId="5E9854DB" w14:textId="75B1D9FF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答：說雖前後，用在一時。且如照此白毫即是我心，心外無法，法法叵得是空，其相宛然是假。假即是境，空即是觀，了了通達，不為境所染，亡假也；了了通達，不為智所淨，亡空也；非染非淨，境觀雙絕，能所頓亡，即是中道，何有前後耶？</w:t>
      </w:r>
    </w:p>
    <w:p w14:paraId="14FC4E32" w14:textId="4304F24A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若論假觀，亦復如是。白毫宛然，如骨起光是假；其相叵得是空；此無持來者，亦無有此骨，是中也。若論中觀，了此白毫非空非假，若心有想則癡，無想是泥洹，是法不可示，皆念想所為，亡二邊也。既其雙亡，必也雙照。以雙照故，空假宛然，亡照同時，不可前後。是則一空一切空，三觀俱空；一假一切假，三觀俱假；一中一切中，三觀俱中；不前不後，絕思絕議。</w:t>
      </w:r>
    </w:p>
    <w:p w14:paraId="2E509893" w14:textId="2FCFD507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問：淨土依正在十萬億剎外，何云唯心淨土，本性彌陀？又經云阿彌陀佛去此不遠耶？</w:t>
      </w:r>
    </w:p>
    <w:p w14:paraId="68B89BED" w14:textId="0DC753E6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答：此義須約三諦三觀說之，其疑方解。何者？就不失自體，東西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lastRenderedPageBreak/>
        <w:t>宛爾邊，何妨在十萬億剎之外，即妙假也；就同一性體，不隔毫釐邊，即妙空也；就不一不異，二相亡泯邊，即妙中也。亦是一即一切，故不妨遠；一切即一，故不妨近；非一非一切，故不遠不近。以例取捨，不取不捨，合散不合不散等，莫不皆然。具如《止觀》前六章，依修多羅廣開妙解，直論諸法本真，無非三諦妙法，由此理具，方有事用。以即假故，不失自體，不遠而遠，往生彼土。復由即空故，同一性體故，以佛力故，三昧力故，一念能見故，心在定故，如彈指頃故，不近而近，實</w:t>
      </w:r>
      <w:r w:rsidRPr="00BE0B6A">
        <w:rPr>
          <w:rFonts w:ascii="宋体" w:eastAsia="方正新书宋_GBK" w:hAnsi="宋体" w:hint="eastAsia"/>
          <w:sz w:val="30"/>
          <w:szCs w:val="30"/>
          <w:lang w:eastAsia="zh-TW"/>
        </w:rPr>
        <w:t>不往生。雙非二邊，非生非不生，事既即理，便是妙事。</w:t>
      </w:r>
    </w:p>
    <w:p w14:paraId="0D42CFA2" w14:textId="7DE141E4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但佛世根利，隨舉其一，必具三故。《小彌陀》偏語其遠，《十六觀經》偏語其近，既其遠近雙照，必也遠近雙寂。是則近遠非近非遠，生即無生，無生即生，非生非不生。今人隨語生解，偏執一邊，不能圓解。故《十疑論》云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今人聞生便作生解，聞不生便作不生解。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正墮此責也。</w:t>
      </w:r>
    </w:p>
    <w:p w14:paraId="572428FB" w14:textId="1FF039CE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悲夫！若不約理具三法，而論事用三法，則遭從心生法之過，復招緣理斷九之譏，豈是圓頓法門？若不爾者，何故《妙宗》引《般舟三昧經》三力為證？一、佛力；二、三昧力。此二非事用耶？三者、本功德力。此非理具耶？</w:t>
      </w:r>
    </w:p>
    <w:p w14:paraId="214508B1" w14:textId="5DE65EB0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然末代行人而欲立行造修，須揀入理之門，起觀之處，以眾生在迷，未悟理故，故至第七正修章中，方論陰等十境，的揀所觀。今亦如是，如前所辯，良由於此不見此意，豈不惑哉！</w:t>
      </w:r>
    </w:p>
    <w:p w14:paraId="5A3D927B" w14:textId="3F1B2F40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問：唯心淨土之唯心，與本性彌陀及十不二門唯色唯心之唯心，同異如何？</w:t>
      </w:r>
    </w:p>
    <w:p w14:paraId="07295107" w14:textId="3CC9A893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lastRenderedPageBreak/>
        <w:t>答：唯心淨土是所觀陰境，本性彌陀是所顯法門，亦是能觀觀法，各舉一邊，意在戶顯。若十不二門，約三諦妙色妙心而論唯心。故云非色非心，空也；而色而心，假也；唯色唯心，中也。此乃直約中道絕待而論，名為妙色妙心，豈與唯心淨土所觀陰心同日而語？熟看《金錍指要》，自見臧否。</w:t>
      </w:r>
    </w:p>
    <w:p w14:paraId="571632F0" w14:textId="45A9B440" w:rsidR="00976C74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若觀二菩薩，身相既同，彌須揀別，經云：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但觀首相，知是觀世音，知是大勢至。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BE0B6A">
        <w:rPr>
          <w:rFonts w:ascii="宋体" w:eastAsia="方正新书宋_GBK" w:hAnsi="宋体"/>
          <w:sz w:val="30"/>
          <w:szCs w:val="30"/>
          <w:lang w:eastAsia="zh-TW"/>
        </w:rPr>
        <w:t>首相者，觀音頂上有一肉髻，如未開蓮，瑩淨紅鮮。大勢至於肉髻上有一寶瓶，盛諸光明。若念此菩薩名時，須觀此相。若念清淨海眾時，須想三乘諸天圍繞一佛二菩薩也。</w:t>
      </w:r>
    </w:p>
    <w:p w14:paraId="1501CD84" w14:textId="4C4E88EE" w:rsidR="004B4A58" w:rsidRPr="00BE0B6A" w:rsidRDefault="00976C74" w:rsidP="00976C7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BE0B6A">
        <w:rPr>
          <w:rFonts w:ascii="宋体" w:eastAsia="方正新书宋_GBK" w:hAnsi="宋体"/>
          <w:sz w:val="30"/>
          <w:szCs w:val="30"/>
          <w:lang w:eastAsia="zh-TW"/>
        </w:rPr>
        <w:t>所論境觀之相，悉例上可知。若不精揀，何稱圓修？是故不能已也。信筆述此，老眼昏華，不及檢文，多有疏脫，觀者恕之。</w:t>
      </w:r>
      <w:r w:rsidRPr="00BE0B6A">
        <w:rPr>
          <w:rFonts w:ascii="宋体" w:eastAsia="方正新书宋_GBK" w:hAnsi="宋体"/>
          <w:sz w:val="30"/>
          <w:szCs w:val="30"/>
        </w:rPr>
        <w:t>至大三年冬至前三日。</w:t>
      </w:r>
    </w:p>
    <w:sectPr w:rsidR="004B4A58" w:rsidRPr="00BE0B6A" w:rsidSect="00431C3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A7680" w14:textId="77777777" w:rsidR="00976C74" w:rsidRDefault="00976C74" w:rsidP="00976C74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58B96B8E" w14:textId="77777777" w:rsidR="00976C74" w:rsidRDefault="00976C74" w:rsidP="00976C74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F679767D-7079-42EC-8C8F-A254F9A1C1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EFE6A5-4E9F-4F3A-A6D4-82AE6CD4E404}"/>
    <w:embedBold r:id="rId3" w:fontKey="{CFA58395-3BE3-4FED-AA49-50114728CF3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67E75BEC-95A9-4726-92ED-AE9AB21B411D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A3C806E-7D76-4525-AB5E-E45A01A88095}"/>
    <w:embedBold r:id="rId6" w:subsetted="1" w:fontKey="{5817E094-E077-4171-AC92-ED07FDA43BD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275B1E9E-1C41-4843-8FA7-CAAB1C9B4FFA}"/>
    <w:embedBold r:id="rId8" w:subsetted="1" w:fontKey="{D4AC8735-16C1-45A4-8378-FDE790B06A5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E10A5" w14:textId="77777777" w:rsidR="00431C36" w:rsidRDefault="00431C36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86302" w14:textId="77777777" w:rsidR="00431C36" w:rsidRDefault="00431C36">
    <w:pPr>
      <w:pStyle w:val="a5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0D4DB" w14:textId="77777777" w:rsidR="00976C74" w:rsidRDefault="00976C74">
    <w:pPr>
      <w:pStyle w:val="a5"/>
      <w:spacing w:before="120" w:after="120"/>
      <w:ind w:firstLine="360"/>
      <w:jc w:val="center"/>
    </w:pPr>
  </w:p>
  <w:p w14:paraId="3F32BE62" w14:textId="77777777" w:rsidR="00976C74" w:rsidRDefault="00976C74">
    <w:pPr>
      <w:pStyle w:val="a5"/>
      <w:spacing w:before="120"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C918F" w14:textId="77777777" w:rsidR="00976C74" w:rsidRDefault="00976C74">
    <w:pPr>
      <w:pStyle w:val="a5"/>
      <w:spacing w:before="120" w:after="120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4216826"/>
      <w:docPartObj>
        <w:docPartGallery w:val="Page Numbers (Bottom of Page)"/>
        <w:docPartUnique/>
      </w:docPartObj>
    </w:sdtPr>
    <w:sdtEndPr/>
    <w:sdtContent>
      <w:p w14:paraId="7244D735" w14:textId="7CE3C8BD" w:rsidR="00431C36" w:rsidRDefault="00431C36" w:rsidP="00431C36">
        <w:pPr>
          <w:pStyle w:val="a5"/>
          <w:spacing w:before="120" w:after="120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101BD4F" w14:textId="77777777" w:rsidR="00976C74" w:rsidRDefault="00976C74">
    <w:pPr>
      <w:pStyle w:val="a5"/>
      <w:spacing w:before="120" w:after="120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B9088" w14:textId="77777777" w:rsidR="00976C74" w:rsidRDefault="00976C74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40A03" w14:textId="77777777" w:rsidR="00976C74" w:rsidRDefault="00976C74" w:rsidP="00976C74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6F050D40" w14:textId="77777777" w:rsidR="00976C74" w:rsidRDefault="00976C74" w:rsidP="00976C74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EBF1F" w14:textId="77777777" w:rsidR="00431C36" w:rsidRDefault="00431C36">
    <w:pPr>
      <w:pStyle w:val="a3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96AC3" w14:textId="77777777" w:rsidR="00431C36" w:rsidRPr="00972EA7" w:rsidRDefault="00431C36" w:rsidP="00972EA7">
    <w:pPr>
      <w:spacing w:before="120" w:after="120"/>
      <w:ind w:left="4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33BBF" w14:textId="77777777" w:rsidR="00431C36" w:rsidRPr="00431C36" w:rsidRDefault="00431C36" w:rsidP="00431C36">
    <w:pPr>
      <w:spacing w:before="120" w:after="120"/>
      <w:ind w:left="420" w:firstLineChars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2B559" w14:textId="77777777" w:rsidR="00976C74" w:rsidRDefault="00976C74">
    <w:pPr>
      <w:pStyle w:val="a3"/>
      <w:spacing w:before="120" w:after="120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A5413" w14:textId="77777777" w:rsidR="00976C74" w:rsidRPr="00976C74" w:rsidRDefault="00976C74" w:rsidP="00976C74">
    <w:pPr>
      <w:spacing w:before="120" w:after="120"/>
      <w:ind w:left="420" w:firstLineChars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FE5C" w14:textId="77777777" w:rsidR="00976C74" w:rsidRDefault="00976C74">
    <w:pPr>
      <w:pStyle w:val="a3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D50"/>
    <w:rsid w:val="00201CB6"/>
    <w:rsid w:val="00350D50"/>
    <w:rsid w:val="00431C36"/>
    <w:rsid w:val="004B4A58"/>
    <w:rsid w:val="00886D27"/>
    <w:rsid w:val="00927BC1"/>
    <w:rsid w:val="00972EA7"/>
    <w:rsid w:val="00976C74"/>
    <w:rsid w:val="00BE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F415F"/>
  <w15:chartTrackingRefBased/>
  <w15:docId w15:val="{C214A1D6-FAEC-4EA8-88C4-43E6623E2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C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6C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6C74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6C74"/>
    <w:rPr>
      <w:sz w:val="18"/>
      <w:szCs w:val="18"/>
    </w:rPr>
  </w:style>
  <w:style w:type="paragraph" w:styleId="a7">
    <w:name w:val="List Paragraph"/>
    <w:basedOn w:val="a"/>
    <w:uiPriority w:val="34"/>
    <w:qFormat/>
    <w:rsid w:val="00976C74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688</Words>
  <Characters>3927</Characters>
  <Application>Microsoft Office Word</Application>
  <DocSecurity>0</DocSecurity>
  <Lines>32</Lines>
  <Paragraphs>9</Paragraphs>
  <ScaleCrop>false</ScaleCrop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2019-05-22T09:11:00Z</cp:lastPrinted>
  <dcterms:created xsi:type="dcterms:W3CDTF">2019-05-22T08:38:00Z</dcterms:created>
  <dcterms:modified xsi:type="dcterms:W3CDTF">2020-06-01T08:54:00Z</dcterms:modified>
</cp:coreProperties>
</file>